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9E288">
      <w:pPr>
        <w:pStyle w:val="4"/>
        <w:spacing w:after="0"/>
        <w:jc w:val="left"/>
        <w:outlineLvl w:val="1"/>
        <w:rPr>
          <w:rFonts w:hint="eastAsia" w:ascii="宋体" w:hAnsi="宋体" w:eastAsia="宋体" w:cs="宋体"/>
          <w:b/>
          <w:bCs/>
          <w:color w:val="auto"/>
          <w:sz w:val="24"/>
          <w:szCs w:val="24"/>
          <w:highlight w:val="none"/>
        </w:rPr>
      </w:pPr>
      <w:bookmarkStart w:id="0" w:name="_GoBack"/>
      <w:r>
        <w:rPr>
          <w:rFonts w:hint="eastAsia" w:ascii="宋体" w:hAnsi="宋体" w:cs="宋体"/>
          <w:b/>
          <w:bCs/>
          <w:color w:val="auto"/>
          <w:sz w:val="24"/>
          <w:szCs w:val="24"/>
          <w:highlight w:val="none"/>
          <w:lang w:eastAsia="zh-CN"/>
        </w:rPr>
        <w:t>招标公告</w:t>
      </w:r>
      <w:r>
        <w:rPr>
          <w:rFonts w:hint="eastAsia" w:ascii="宋体" w:hAnsi="宋体" w:eastAsia="宋体" w:cs="宋体"/>
          <w:b/>
          <w:bCs/>
          <w:color w:val="auto"/>
          <w:sz w:val="24"/>
          <w:szCs w:val="24"/>
          <w:highlight w:val="none"/>
        </w:rPr>
        <w:t>附件</w:t>
      </w:r>
    </w:p>
    <w:bookmarkEnd w:id="0"/>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0"/>
        <w:gridCol w:w="1185"/>
        <w:gridCol w:w="6865"/>
        <w:gridCol w:w="503"/>
        <w:gridCol w:w="503"/>
        <w:gridCol w:w="844"/>
        <w:gridCol w:w="548"/>
        <w:gridCol w:w="2586"/>
      </w:tblGrid>
      <w:tr w14:paraId="24706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0" w:type="auto"/>
            <w:vAlign w:val="center"/>
          </w:tcPr>
          <w:p w14:paraId="63ADC4D6">
            <w:pPr>
              <w:widowControl/>
              <w:shd w:val="clea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项目名称</w:t>
            </w:r>
          </w:p>
        </w:tc>
        <w:tc>
          <w:tcPr>
            <w:tcW w:w="0" w:type="auto"/>
            <w:shd w:val="clear" w:color="auto" w:fill="auto"/>
            <w:vAlign w:val="center"/>
          </w:tcPr>
          <w:p w14:paraId="1D0FB4F4">
            <w:pPr>
              <w:widowControl/>
              <w:shd w:val="clea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服务内容</w:t>
            </w:r>
          </w:p>
        </w:tc>
        <w:tc>
          <w:tcPr>
            <w:tcW w:w="0" w:type="auto"/>
            <w:shd w:val="clear" w:color="auto" w:fill="auto"/>
            <w:vAlign w:val="center"/>
          </w:tcPr>
          <w:p w14:paraId="59A556E7">
            <w:pPr>
              <w:widowControl/>
              <w:shd w:val="clea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主要技术要求</w:t>
            </w:r>
          </w:p>
        </w:tc>
        <w:tc>
          <w:tcPr>
            <w:tcW w:w="0" w:type="auto"/>
            <w:shd w:val="clear" w:color="auto" w:fill="auto"/>
            <w:vAlign w:val="center"/>
          </w:tcPr>
          <w:p w14:paraId="67F840DA">
            <w:pPr>
              <w:widowControl/>
              <w:shd w:val="clear"/>
              <w:jc w:val="center"/>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rPr>
              <w:t>单位</w:t>
            </w:r>
          </w:p>
        </w:tc>
        <w:tc>
          <w:tcPr>
            <w:tcW w:w="0" w:type="auto"/>
            <w:shd w:val="clear" w:color="auto" w:fill="auto"/>
            <w:vAlign w:val="center"/>
          </w:tcPr>
          <w:p w14:paraId="7A8445ED">
            <w:pPr>
              <w:widowControl/>
              <w:shd w:val="clear"/>
              <w:jc w:val="center"/>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rPr>
              <w:t>数量</w:t>
            </w:r>
          </w:p>
        </w:tc>
        <w:tc>
          <w:tcPr>
            <w:tcW w:w="0" w:type="auto"/>
            <w:shd w:val="clear" w:color="auto" w:fill="FF0000"/>
            <w:vAlign w:val="center"/>
          </w:tcPr>
          <w:p w14:paraId="69E3D798">
            <w:pPr>
              <w:widowControl/>
              <w:shd w:val="clea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服务期/工期</w:t>
            </w:r>
          </w:p>
        </w:tc>
        <w:tc>
          <w:tcPr>
            <w:tcW w:w="0" w:type="auto"/>
            <w:shd w:val="clear" w:color="auto" w:fill="auto"/>
            <w:vAlign w:val="center"/>
          </w:tcPr>
          <w:p w14:paraId="52CA45CC">
            <w:pPr>
              <w:widowControl/>
              <w:shd w:val="clea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质保期</w:t>
            </w:r>
          </w:p>
        </w:tc>
        <w:tc>
          <w:tcPr>
            <w:tcW w:w="2587" w:type="dxa"/>
            <w:shd w:val="clear" w:color="auto" w:fill="auto"/>
            <w:vAlign w:val="center"/>
          </w:tcPr>
          <w:p w14:paraId="071EBC30">
            <w:pPr>
              <w:widowControl/>
              <w:shd w:val="clear"/>
              <w:jc w:val="center"/>
              <w:rPr>
                <w:rFonts w:hint="default" w:ascii="宋体" w:hAnsi="宋体" w:eastAsia="宋体" w:cs="宋体"/>
                <w:b/>
                <w:bCs/>
                <w:kern w:val="0"/>
                <w:sz w:val="24"/>
                <w:szCs w:val="24"/>
                <w:highlight w:val="none"/>
                <w:lang w:val="en-US" w:eastAsia="zh-CN"/>
              </w:rPr>
            </w:pPr>
            <w:r>
              <w:rPr>
                <w:rFonts w:hint="eastAsia" w:ascii="宋体" w:hAnsi="宋体" w:cs="宋体"/>
                <w:b/>
                <w:bCs/>
                <w:kern w:val="0"/>
                <w:sz w:val="24"/>
                <w:szCs w:val="24"/>
                <w:highlight w:val="none"/>
                <w:lang w:val="en-US" w:eastAsia="zh-CN"/>
              </w:rPr>
              <w:t>专用业绩要求</w:t>
            </w:r>
          </w:p>
        </w:tc>
      </w:tr>
      <w:tr w14:paraId="732F1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9" w:hRule="atLeast"/>
          <w:jc w:val="center"/>
        </w:trPr>
        <w:tc>
          <w:tcPr>
            <w:tcW w:w="0" w:type="auto"/>
            <w:vMerge w:val="restart"/>
            <w:vAlign w:val="center"/>
          </w:tcPr>
          <w:p w14:paraId="3C6E8CE0">
            <w:pPr>
              <w:shd w:val="clear"/>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kern w:val="0"/>
                <w:sz w:val="24"/>
                <w:szCs w:val="24"/>
                <w:highlight w:val="none"/>
                <w:lang w:val="en-US" w:eastAsia="zh-CN"/>
              </w:rPr>
              <w:t>仓储管理系统改造升级辅助开发项目</w:t>
            </w:r>
          </w:p>
        </w:tc>
        <w:tc>
          <w:tcPr>
            <w:tcW w:w="0" w:type="auto"/>
            <w:shd w:val="clear" w:color="auto" w:fill="auto"/>
            <w:vAlign w:val="center"/>
          </w:tcPr>
          <w:p w14:paraId="4CAFAFEE">
            <w:pPr>
              <w:shd w:val="clear"/>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kern w:val="0"/>
                <w:sz w:val="24"/>
                <w:szCs w:val="24"/>
                <w:highlight w:val="none"/>
                <w:lang w:val="en-US" w:eastAsia="zh-CN"/>
              </w:rPr>
              <w:t>仓储管理系统改造和功能升级</w:t>
            </w:r>
          </w:p>
        </w:tc>
        <w:tc>
          <w:tcPr>
            <w:tcW w:w="0" w:type="auto"/>
            <w:shd w:val="clear" w:color="auto" w:fill="auto"/>
            <w:vAlign w:val="center"/>
          </w:tcPr>
          <w:p w14:paraId="2B9356F9">
            <w:pPr>
              <w:numPr>
                <w:ilvl w:val="0"/>
                <w:numId w:val="0"/>
              </w:numPr>
              <w:shd w:val="clear"/>
              <w:jc w:val="both"/>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rPr>
              <w:t>升级入库、出库、移库、盘点等现有任务管理功能的基础上，新增寄存物资管理、仓库门禁管理、数据大屏展示三大功能。通过集成门禁人脸识别、RFID自动识别与盘点、智能灯光指引、温湿度监控、声光报警等智能化技术，实现仓库作业流程的自动化控制与多系统数据实时交互，全面提升仓储作业效率、物资管控精度及智能化管理水平。</w:t>
            </w:r>
          </w:p>
        </w:tc>
        <w:tc>
          <w:tcPr>
            <w:tcW w:w="0" w:type="auto"/>
            <w:shd w:val="clear" w:color="auto" w:fill="auto"/>
            <w:vAlign w:val="center"/>
          </w:tcPr>
          <w:p w14:paraId="6891A76E">
            <w:pPr>
              <w:shd w:val="clear"/>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套</w:t>
            </w:r>
          </w:p>
        </w:tc>
        <w:tc>
          <w:tcPr>
            <w:tcW w:w="0" w:type="auto"/>
            <w:shd w:val="clear" w:color="auto" w:fill="auto"/>
            <w:vAlign w:val="center"/>
          </w:tcPr>
          <w:p w14:paraId="56160FFD">
            <w:pPr>
              <w:shd w:val="clear"/>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1</w:t>
            </w:r>
          </w:p>
        </w:tc>
        <w:tc>
          <w:tcPr>
            <w:tcW w:w="0" w:type="auto"/>
            <w:shd w:val="clear" w:color="auto" w:fill="FF0000"/>
            <w:vAlign w:val="center"/>
          </w:tcPr>
          <w:p w14:paraId="600E0E06">
            <w:pPr>
              <w:shd w:val="clear"/>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接到服务通知45</w:t>
            </w:r>
            <w:r>
              <w:rPr>
                <w:rFonts w:hint="eastAsia" w:ascii="宋体" w:hAnsi="宋体" w:eastAsia="宋体" w:cs="宋体"/>
                <w:snapToGrid w:val="0"/>
                <w:color w:val="auto"/>
                <w:kern w:val="0"/>
                <w:sz w:val="24"/>
                <w:szCs w:val="24"/>
                <w:highlight w:val="none"/>
              </w:rPr>
              <w:t>日内</w:t>
            </w:r>
          </w:p>
        </w:tc>
        <w:tc>
          <w:tcPr>
            <w:tcW w:w="0" w:type="auto"/>
            <w:shd w:val="clear" w:color="auto" w:fill="auto"/>
            <w:vAlign w:val="center"/>
          </w:tcPr>
          <w:p w14:paraId="308109D9">
            <w:pPr>
              <w:shd w:val="clear"/>
              <w:jc w:val="center"/>
              <w:rPr>
                <w:rFonts w:hint="eastAsia" w:ascii="宋体" w:hAnsi="宋体" w:eastAsia="宋体" w:cs="宋体"/>
                <w:snapToGrid w:val="0"/>
                <w:color w:val="CFE8CC"/>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3年</w:t>
            </w:r>
          </w:p>
        </w:tc>
        <w:tc>
          <w:tcPr>
            <w:tcW w:w="2587" w:type="dxa"/>
            <w:vMerge w:val="restart"/>
            <w:shd w:val="clear" w:color="auto" w:fill="auto"/>
            <w:vAlign w:val="center"/>
          </w:tcPr>
          <w:p w14:paraId="2DC5EDC4">
            <w:pPr>
              <w:shd w:val="clear"/>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cs="宋体"/>
                <w:b/>
                <w:bCs/>
                <w:kern w:val="0"/>
                <w:sz w:val="24"/>
                <w:szCs w:val="24"/>
                <w:highlight w:val="none"/>
                <w:lang w:val="en-US" w:eastAsia="zh-CN"/>
              </w:rPr>
              <w:t>业绩要求</w:t>
            </w:r>
            <w:r>
              <w:rPr>
                <w:rFonts w:hint="eastAsia" w:ascii="宋体" w:hAnsi="宋体" w:cs="宋体"/>
                <w:b/>
                <w:bCs/>
                <w:kern w:val="0"/>
                <w:sz w:val="24"/>
                <w:szCs w:val="24"/>
                <w:highlight w:val="none"/>
                <w:lang w:eastAsia="zh-CN"/>
              </w:rPr>
              <w:t>：</w:t>
            </w:r>
            <w:r>
              <w:rPr>
                <w:rFonts w:hint="eastAsia" w:ascii="宋体" w:hAnsi="宋体" w:eastAsia="宋体" w:cs="宋体"/>
                <w:kern w:val="0"/>
                <w:sz w:val="24"/>
                <w:szCs w:val="24"/>
                <w:highlight w:val="none"/>
                <w:lang w:val="en-US" w:eastAsia="zh-CN" w:bidi="zh-CN"/>
              </w:rPr>
              <w:t>自2021年1月1日至投标截止日，投标人具有信息系统开发业绩。注：业绩必须提供对应的合同、发票复印件及查验截图</w:t>
            </w:r>
            <w:r>
              <w:rPr>
                <w:rFonts w:hint="eastAsia" w:ascii="宋体" w:hAnsi="宋体" w:cs="宋体"/>
                <w:kern w:val="0"/>
                <w:sz w:val="24"/>
                <w:szCs w:val="24"/>
                <w:highlight w:val="none"/>
                <w:lang w:val="en-US" w:eastAsia="zh-CN" w:bidi="zh-CN"/>
              </w:rPr>
              <w:t>。</w:t>
            </w:r>
          </w:p>
        </w:tc>
      </w:tr>
      <w:tr w14:paraId="4B145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jc w:val="center"/>
        </w:trPr>
        <w:tc>
          <w:tcPr>
            <w:tcW w:w="0" w:type="auto"/>
            <w:vMerge w:val="continue"/>
            <w:vAlign w:val="center"/>
          </w:tcPr>
          <w:p w14:paraId="7CF5AF1C">
            <w:pPr>
              <w:shd w:val="clear"/>
              <w:jc w:val="left"/>
              <w:rPr>
                <w:rFonts w:hint="eastAsia" w:ascii="宋体" w:hAnsi="宋体" w:eastAsia="宋体" w:cs="宋体"/>
                <w:snapToGrid w:val="0"/>
                <w:color w:val="auto"/>
                <w:kern w:val="0"/>
                <w:sz w:val="24"/>
                <w:szCs w:val="24"/>
                <w:highlight w:val="none"/>
                <w:lang w:val="en-US" w:eastAsia="zh-CN"/>
              </w:rPr>
            </w:pPr>
          </w:p>
        </w:tc>
        <w:tc>
          <w:tcPr>
            <w:tcW w:w="0" w:type="auto"/>
            <w:shd w:val="clear" w:color="auto" w:fill="auto"/>
            <w:vAlign w:val="center"/>
          </w:tcPr>
          <w:p w14:paraId="7C4161D5">
            <w:pPr>
              <w:shd w:val="clear"/>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仓储管理系统与仓储控制系统接口开发</w:t>
            </w:r>
          </w:p>
        </w:tc>
        <w:tc>
          <w:tcPr>
            <w:tcW w:w="0" w:type="auto"/>
            <w:shd w:val="clear" w:color="auto" w:fill="auto"/>
          </w:tcPr>
          <w:p w14:paraId="29498EC0">
            <w:pPr>
              <w:shd w:val="clear"/>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括但不限于每个库房以下接口开发：(1)人脸门禁权限下发、收回接口；(2)智能门禁远程开门、关门、进出记录接口；(3)温湿度传感器数据采集接口；(4)灯光指引亮灯、灭灯、数据展示接口；(5)RFID数据读取接口；(6)RFID标签打印接口。</w:t>
            </w:r>
          </w:p>
        </w:tc>
        <w:tc>
          <w:tcPr>
            <w:tcW w:w="0" w:type="auto"/>
            <w:shd w:val="clear" w:color="auto" w:fill="auto"/>
            <w:vAlign w:val="center"/>
          </w:tcPr>
          <w:p w14:paraId="50D6017E">
            <w:pPr>
              <w:shd w:val="clear"/>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套</w:t>
            </w:r>
          </w:p>
        </w:tc>
        <w:tc>
          <w:tcPr>
            <w:tcW w:w="0" w:type="auto"/>
            <w:shd w:val="clear" w:color="auto" w:fill="auto"/>
            <w:vAlign w:val="center"/>
          </w:tcPr>
          <w:p w14:paraId="461E0FF0">
            <w:pPr>
              <w:shd w:val="clear"/>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1</w:t>
            </w:r>
          </w:p>
        </w:tc>
        <w:tc>
          <w:tcPr>
            <w:tcW w:w="0" w:type="auto"/>
            <w:shd w:val="clear" w:color="auto" w:fill="FF0000"/>
            <w:vAlign w:val="center"/>
          </w:tcPr>
          <w:p w14:paraId="3EBDF8A3">
            <w:pPr>
              <w:shd w:val="clear"/>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接到服务通知45</w:t>
            </w:r>
            <w:r>
              <w:rPr>
                <w:rFonts w:hint="eastAsia" w:ascii="宋体" w:hAnsi="宋体" w:eastAsia="宋体" w:cs="宋体"/>
                <w:snapToGrid w:val="0"/>
                <w:color w:val="auto"/>
                <w:kern w:val="0"/>
                <w:sz w:val="24"/>
                <w:szCs w:val="24"/>
                <w:highlight w:val="none"/>
              </w:rPr>
              <w:t>日内</w:t>
            </w:r>
          </w:p>
        </w:tc>
        <w:tc>
          <w:tcPr>
            <w:tcW w:w="0" w:type="auto"/>
            <w:shd w:val="clear" w:color="auto" w:fill="auto"/>
            <w:vAlign w:val="center"/>
          </w:tcPr>
          <w:p w14:paraId="513F4046">
            <w:pPr>
              <w:shd w:val="clear"/>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3年</w:t>
            </w:r>
          </w:p>
        </w:tc>
        <w:tc>
          <w:tcPr>
            <w:tcW w:w="2587" w:type="dxa"/>
            <w:vMerge w:val="continue"/>
            <w:shd w:val="clear" w:color="auto" w:fill="auto"/>
            <w:vAlign w:val="center"/>
          </w:tcPr>
          <w:p w14:paraId="68733EA1">
            <w:pPr>
              <w:shd w:val="clear"/>
              <w:jc w:val="center"/>
              <w:rPr>
                <w:rFonts w:hint="eastAsia" w:ascii="宋体" w:hAnsi="宋体" w:eastAsia="宋体" w:cs="宋体"/>
                <w:snapToGrid w:val="0"/>
                <w:color w:val="auto"/>
                <w:kern w:val="0"/>
                <w:sz w:val="24"/>
                <w:szCs w:val="24"/>
                <w:highlight w:val="none"/>
                <w:lang w:val="en-US" w:eastAsia="zh-CN"/>
              </w:rPr>
            </w:pPr>
          </w:p>
        </w:tc>
      </w:tr>
      <w:tr w14:paraId="3CF67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0" w:type="auto"/>
            <w:vMerge w:val="continue"/>
            <w:vAlign w:val="center"/>
          </w:tcPr>
          <w:p w14:paraId="32673F87">
            <w:pPr>
              <w:shd w:val="clear"/>
              <w:jc w:val="left"/>
              <w:rPr>
                <w:rFonts w:hint="eastAsia" w:ascii="宋体" w:hAnsi="宋体" w:eastAsia="宋体" w:cs="宋体"/>
                <w:snapToGrid w:val="0"/>
                <w:color w:val="auto"/>
                <w:kern w:val="0"/>
                <w:sz w:val="24"/>
                <w:szCs w:val="24"/>
                <w:highlight w:val="none"/>
                <w:lang w:val="en-US" w:eastAsia="zh-CN"/>
              </w:rPr>
            </w:pPr>
          </w:p>
        </w:tc>
        <w:tc>
          <w:tcPr>
            <w:tcW w:w="0" w:type="auto"/>
            <w:shd w:val="clear" w:color="auto" w:fill="auto"/>
            <w:vAlign w:val="center"/>
          </w:tcPr>
          <w:p w14:paraId="5C0213C4">
            <w:pPr>
              <w:shd w:val="clear"/>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检储配集成应用平台公司接入</w:t>
            </w:r>
          </w:p>
        </w:tc>
        <w:tc>
          <w:tcPr>
            <w:tcW w:w="0" w:type="auto"/>
            <w:shd w:val="clear" w:color="auto" w:fill="auto"/>
            <w:vAlign w:val="center"/>
          </w:tcPr>
          <w:p w14:paraId="6D0C89F8">
            <w:pPr>
              <w:shd w:val="clear"/>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根据甲方调试规范、业主单位技术要求，完成电网管理平台检储配集成应用与仓储控制系统的对接。</w:t>
            </w:r>
          </w:p>
          <w:p w14:paraId="17DB9EDD">
            <w:pPr>
              <w:shd w:val="clear"/>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1.系统远程试运行支撑：提供稳定的远程技术支持服务，确保系统在试运行期间平稳运行。包括但不限于系统状态监控、运行数据跟踪、异常预警、故障排查与远程修复等。</w:t>
            </w:r>
          </w:p>
          <w:p w14:paraId="4C45CD00">
            <w:pPr>
              <w:shd w:val="clear"/>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现场及远程调试服务：根据项目实施进度及实际运行情况，提供灵活、高效的调试支持。既包括在项目现场对系统进行部署、联调、性能优化等实地调试工作，也应具备通过远程方式开展参数配置、功能验证、问题定位与系统优化等能力，确保系统在不同阶段均处于最优运行状态。</w:t>
            </w:r>
          </w:p>
          <w:p w14:paraId="7EE35CD8">
            <w:pPr>
              <w:shd w:val="clear"/>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3.系统培训服务：投标人须针对不同使用对象，制定并实施系统性的培训方案。</w:t>
            </w:r>
          </w:p>
        </w:tc>
        <w:tc>
          <w:tcPr>
            <w:tcW w:w="0" w:type="auto"/>
            <w:shd w:val="clear" w:color="auto" w:fill="auto"/>
            <w:vAlign w:val="center"/>
          </w:tcPr>
          <w:p w14:paraId="7656BB8B">
            <w:pPr>
              <w:shd w:val="clear"/>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套</w:t>
            </w:r>
          </w:p>
        </w:tc>
        <w:tc>
          <w:tcPr>
            <w:tcW w:w="0" w:type="auto"/>
            <w:shd w:val="clear" w:color="auto" w:fill="auto"/>
            <w:vAlign w:val="center"/>
          </w:tcPr>
          <w:p w14:paraId="49BE05DF">
            <w:pPr>
              <w:shd w:val="clear"/>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5</w:t>
            </w:r>
          </w:p>
        </w:tc>
        <w:tc>
          <w:tcPr>
            <w:tcW w:w="0" w:type="auto"/>
            <w:shd w:val="clear" w:color="auto" w:fill="FF0000"/>
            <w:vAlign w:val="center"/>
          </w:tcPr>
          <w:p w14:paraId="621A03B2">
            <w:pPr>
              <w:shd w:val="clear"/>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接到服务通知45</w:t>
            </w:r>
            <w:r>
              <w:rPr>
                <w:rFonts w:hint="eastAsia" w:ascii="宋体" w:hAnsi="宋体" w:eastAsia="宋体" w:cs="宋体"/>
                <w:snapToGrid w:val="0"/>
                <w:color w:val="auto"/>
                <w:kern w:val="0"/>
                <w:sz w:val="24"/>
                <w:szCs w:val="24"/>
                <w:highlight w:val="none"/>
              </w:rPr>
              <w:t>日内</w:t>
            </w:r>
          </w:p>
        </w:tc>
        <w:tc>
          <w:tcPr>
            <w:tcW w:w="0" w:type="auto"/>
            <w:shd w:val="clear" w:color="auto" w:fill="auto"/>
            <w:vAlign w:val="center"/>
          </w:tcPr>
          <w:p w14:paraId="13438414">
            <w:pPr>
              <w:shd w:val="clear"/>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3年</w:t>
            </w:r>
          </w:p>
        </w:tc>
        <w:tc>
          <w:tcPr>
            <w:tcW w:w="2587" w:type="dxa"/>
            <w:vMerge w:val="continue"/>
            <w:shd w:val="clear" w:color="auto" w:fill="auto"/>
            <w:vAlign w:val="center"/>
          </w:tcPr>
          <w:p w14:paraId="689311CD">
            <w:pPr>
              <w:shd w:val="clear"/>
              <w:jc w:val="center"/>
              <w:rPr>
                <w:rFonts w:hint="eastAsia" w:ascii="宋体" w:hAnsi="宋体" w:eastAsia="宋体" w:cs="宋体"/>
                <w:snapToGrid w:val="0"/>
                <w:color w:val="auto"/>
                <w:kern w:val="0"/>
                <w:sz w:val="24"/>
                <w:szCs w:val="24"/>
                <w:highlight w:val="none"/>
                <w:lang w:val="en-US" w:eastAsia="zh-CN"/>
              </w:rPr>
            </w:pPr>
          </w:p>
        </w:tc>
      </w:tr>
    </w:tbl>
    <w:p w14:paraId="250293F8">
      <w:pPr>
        <w:shd w:val="clear"/>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p w14:paraId="796DACC9">
      <w:pPr>
        <w:pStyle w:val="13"/>
        <w:numPr>
          <w:ilvl w:val="2"/>
          <w:numId w:val="1"/>
        </w:numPr>
        <w:shd w:val="clear"/>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具体服务不局限于上述需求一览表。应包括上述服务相关延伸服务及产品，类似升级服务及相关产品。</w:t>
      </w:r>
    </w:p>
    <w:p w14:paraId="40F30A98">
      <w:pPr>
        <w:ind w:firstLine="480" w:firstLineChars="200"/>
        <w:jc w:val="left"/>
        <w:rPr>
          <w:rFonts w:hint="eastAsia" w:ascii="宋体" w:hAnsi="宋体" w:eastAsia="宋体" w:cs="宋体"/>
          <w:color w:val="auto"/>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本项目产生的相关知识产权，甲方拥有相应权利。</w:t>
      </w:r>
    </w:p>
    <w:p w14:paraId="4924477E">
      <w:pPr>
        <w:rPr>
          <w:rFonts w:hint="eastAsia" w:ascii="宋体" w:hAnsi="宋体" w:eastAsia="宋体" w:cs="宋体"/>
          <w:color w:val="000000" w:themeColor="text1"/>
          <w:sz w:val="24"/>
          <w:szCs w:val="24"/>
          <w:highlight w:val="none"/>
          <w14:textFill>
            <w14:solidFill>
              <w14:schemeClr w14:val="tx1"/>
            </w14:solidFill>
          </w14:textFill>
        </w:rPr>
      </w:pPr>
    </w:p>
    <w:p w14:paraId="795567BF">
      <w:pPr>
        <w:pStyle w:val="10"/>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p w14:paraId="4797A92E">
      <w:pPr>
        <w:pStyle w:val="10"/>
        <w:rPr>
          <w:rFonts w:hint="eastAsia" w:ascii="宋体" w:hAnsi="宋体" w:eastAsia="宋体" w:cs="宋体"/>
          <w:sz w:val="24"/>
          <w:szCs w:val="24"/>
          <w:highlight w:val="none"/>
        </w:rPr>
      </w:pPr>
      <w:r>
        <w:rPr>
          <w:rFonts w:hint="eastAsia" w:ascii="宋体" w:hAnsi="宋体" w:eastAsia="宋体" w:cs="宋体"/>
          <w:sz w:val="24"/>
          <w:szCs w:val="24"/>
          <w:highlight w:val="none"/>
        </w:rPr>
        <w:t>1.取得《国家电网有限公司集中规模招标采购供应商资质能力核实证明》</w:t>
      </w:r>
      <w:r>
        <w:rPr>
          <w:rFonts w:hint="eastAsia" w:ascii="宋体" w:hAnsi="宋体" w:eastAsia="宋体" w:cs="宋体"/>
          <w:sz w:val="24"/>
          <w:szCs w:val="24"/>
          <w:highlight w:val="none"/>
          <w:lang w:eastAsia="zh-CN"/>
        </w:rPr>
        <w:t>或《国网智能科技股份有限公司集中规模招标采购供应商资质能力核实证明》</w:t>
      </w:r>
      <w:r>
        <w:rPr>
          <w:rFonts w:hint="eastAsia" w:ascii="宋体" w:hAnsi="宋体" w:eastAsia="宋体" w:cs="宋体"/>
          <w:sz w:val="24"/>
          <w:szCs w:val="24"/>
          <w:highlight w:val="none"/>
        </w:rPr>
        <w:t>（以下简称《核实证明》）的</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，应按要求使用该《核实证明》。《核实证明》含有的业绩、试验报告不能满足</w:t>
      </w:r>
      <w:r>
        <w:rPr>
          <w:rFonts w:hint="eastAsia" w:ascii="宋体" w:hAnsi="宋体" w:cs="宋体"/>
          <w:sz w:val="24"/>
          <w:szCs w:val="24"/>
          <w:highlight w:val="none"/>
          <w:lang w:eastAsia="zh-CN"/>
        </w:rPr>
        <w:t>招标文件</w:t>
      </w:r>
      <w:r>
        <w:rPr>
          <w:rFonts w:hint="eastAsia" w:ascii="宋体" w:hAnsi="宋体" w:eastAsia="宋体" w:cs="宋体"/>
          <w:sz w:val="24"/>
          <w:szCs w:val="24"/>
          <w:highlight w:val="none"/>
        </w:rPr>
        <w:t>要求的，需要提供满足要求的业绩、试验报告等证明材料；未取得《核实证明》的，</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需要提供对应支持证明材料。</w:t>
      </w:r>
    </w:p>
    <w:p w14:paraId="6BF22975">
      <w:pPr>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cs="宋体"/>
          <w:sz w:val="24"/>
          <w:szCs w:val="24"/>
          <w:highlight w:val="none"/>
          <w:lang w:eastAsia="zh-CN"/>
        </w:rPr>
        <w:t>投标文件</w:t>
      </w:r>
      <w:r>
        <w:rPr>
          <w:rFonts w:hint="eastAsia" w:ascii="宋体" w:hAnsi="宋体" w:eastAsia="宋体" w:cs="宋体"/>
          <w:sz w:val="24"/>
          <w:szCs w:val="24"/>
          <w:highlight w:val="none"/>
        </w:rPr>
        <w:t>中提供的证明材料复印件应复印清晰、可辨认且不得遮盖、涂抹，否则视为无效。</w:t>
      </w:r>
    </w:p>
    <w:p w14:paraId="4DBED1FD">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3.合同金额以所提供的发票及查验截图为准</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BBB63">
    <w:pPr>
      <w:pStyle w:val="4"/>
      <w:spacing w:line="14" w:lineRule="auto"/>
      <w:ind w:firstLine="240"/>
      <w:rPr>
        <w:sz w:val="12"/>
      </w:rPr>
    </w:pPr>
    <w:r>
      <w:rPr>
        <w:sz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51E0DE">
                          <w:pPr>
                            <w:pStyle w:val="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51E0DE">
                    <w:pPr>
                      <w:pStyle w:val="6"/>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A26BC">
    <w:pPr>
      <w:pStyle w:val="7"/>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3021DB"/>
    <w:multiLevelType w:val="multilevel"/>
    <w:tmpl w:val="AD3021DB"/>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170182C"/>
    <w:rsid w:val="072A73E8"/>
    <w:rsid w:val="07C21A3A"/>
    <w:rsid w:val="0CEE6D0E"/>
    <w:rsid w:val="0F4470AD"/>
    <w:rsid w:val="193404DC"/>
    <w:rsid w:val="1B730B17"/>
    <w:rsid w:val="1BB80A5E"/>
    <w:rsid w:val="1BE353E5"/>
    <w:rsid w:val="1F76188B"/>
    <w:rsid w:val="21333CC3"/>
    <w:rsid w:val="26383E3D"/>
    <w:rsid w:val="29FF45B9"/>
    <w:rsid w:val="2BE127D7"/>
    <w:rsid w:val="2D796670"/>
    <w:rsid w:val="301952A7"/>
    <w:rsid w:val="32E134D8"/>
    <w:rsid w:val="398D1AED"/>
    <w:rsid w:val="3A190FBF"/>
    <w:rsid w:val="3A765A44"/>
    <w:rsid w:val="41636FC4"/>
    <w:rsid w:val="419C597F"/>
    <w:rsid w:val="456E2EA0"/>
    <w:rsid w:val="46DA1AD6"/>
    <w:rsid w:val="46ED1809"/>
    <w:rsid w:val="4A227A1C"/>
    <w:rsid w:val="4DD97192"/>
    <w:rsid w:val="50072212"/>
    <w:rsid w:val="58E9369C"/>
    <w:rsid w:val="5A2D0062"/>
    <w:rsid w:val="610D0B3B"/>
    <w:rsid w:val="66667B2B"/>
    <w:rsid w:val="67A55AF5"/>
    <w:rsid w:val="67F468E2"/>
    <w:rsid w:val="6A95353E"/>
    <w:rsid w:val="6C586E7B"/>
    <w:rsid w:val="6D4840AD"/>
    <w:rsid w:val="79E973D8"/>
    <w:rsid w:val="7DC42B04"/>
    <w:rsid w:val="7E017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rFonts w:ascii="Times New Roman" w:hAnsi="Times New Roman"/>
      <w:szCs w:val="24"/>
    </w:rPr>
  </w:style>
  <w:style w:type="paragraph" w:styleId="5">
    <w:name w:val="Plain Text"/>
    <w:basedOn w:val="1"/>
    <w:autoRedefine/>
    <w:qFormat/>
    <w:uiPriority w:val="0"/>
    <w:rPr>
      <w:rFonts w:ascii="宋体" w:hAnsi="Courier New" w:cs="Courier New"/>
      <w:szCs w:val="21"/>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1">
    <w:name w:val="No Spacing"/>
    <w:autoRedefine/>
    <w:qFormat/>
    <w:uiPriority w:val="1"/>
    <w:rPr>
      <w:rFonts w:ascii="宋体" w:hAnsi="宋体" w:eastAsia="宋体" w:cs="宋体"/>
      <w:kern w:val="0"/>
      <w:sz w:val="24"/>
      <w:szCs w:val="24"/>
      <w:lang w:val="en-US" w:eastAsia="zh-CN" w:bidi="ar-SA"/>
    </w:rPr>
  </w:style>
  <w:style w:type="paragraph" w:customStyle="1" w:styleId="12">
    <w:name w:val="正文文本2"/>
    <w:basedOn w:val="1"/>
    <w:autoRedefine/>
    <w:qFormat/>
    <w:uiPriority w:val="0"/>
    <w:pPr>
      <w:autoSpaceDE w:val="0"/>
      <w:autoSpaceDN w:val="0"/>
      <w:jc w:val="left"/>
    </w:pPr>
    <w:rPr>
      <w:rFonts w:ascii="宋体" w:hAnsi="宋体"/>
      <w:kern w:val="0"/>
      <w:sz w:val="20"/>
      <w:szCs w:val="21"/>
      <w:lang w:val="zh-CN"/>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4739</Words>
  <Characters>5271</Characters>
  <Lines>0</Lines>
  <Paragraphs>0</Paragraphs>
  <TotalTime>11</TotalTime>
  <ScaleCrop>false</ScaleCrop>
  <LinksUpToDate>false</LinksUpToDate>
  <CharactersWithSpaces>5286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2024-08-27T09:53:00Z</dcterms:created>
  <dc:creator>DELL</dc:creator>
  <cp:lastModifiedBy>韩梅17660167329</cp:lastModifiedBy>
  <dcterms:modified xsi:type="dcterms:W3CDTF">2026-04-02T10:25:33Z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D9482A387ECB4D25B6F5262EFC196F62_13</vt:lpwstr>
  </property>
  <property fmtid="{D5CDD505-2E9C-101B-9397-08002B2CF9AE}" pid="4" name="KSOTemplateDocerSaveRecord">
    <vt:lpwstr>eyJoZGlkIjoiYWYyNmUzZTIxOTM2NWQ5NGQwNDYxODU3N2MzMjZhNzAiLCJ1c2VySWQiOiI5NjA4MzkzNTgifQ==</vt:lpwstr>
  </property>
</Properties>
</file>