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1"/>
        <w:tblW w:w="5004" w:type="pct"/>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235"/>
        <w:gridCol w:w="5289"/>
        <w:gridCol w:w="644"/>
        <w:gridCol w:w="835"/>
        <w:gridCol w:w="1323"/>
        <w:gridCol w:w="1258"/>
        <w:gridCol w:w="1005"/>
        <w:gridCol w:w="1457"/>
      </w:tblGrid>
      <w:tr w14:paraId="19DE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401" w:type="pct"/>
            <w:vAlign w:val="center"/>
          </w:tcPr>
          <w:p w14:paraId="12BF4BF8">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项目名称</w:t>
            </w:r>
          </w:p>
        </w:tc>
        <w:tc>
          <w:tcPr>
            <w:tcW w:w="435" w:type="pct"/>
            <w:vAlign w:val="center"/>
          </w:tcPr>
          <w:p w14:paraId="4FD21FB7">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物资名称</w:t>
            </w:r>
          </w:p>
        </w:tc>
        <w:tc>
          <w:tcPr>
            <w:tcW w:w="1863" w:type="pct"/>
            <w:vAlign w:val="center"/>
          </w:tcPr>
          <w:p w14:paraId="4B179947">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主要技术要求</w:t>
            </w:r>
          </w:p>
        </w:tc>
        <w:tc>
          <w:tcPr>
            <w:tcW w:w="227" w:type="pct"/>
            <w:vAlign w:val="center"/>
          </w:tcPr>
          <w:p w14:paraId="636024EA">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单位</w:t>
            </w:r>
          </w:p>
        </w:tc>
        <w:tc>
          <w:tcPr>
            <w:tcW w:w="294" w:type="pct"/>
            <w:vAlign w:val="center"/>
          </w:tcPr>
          <w:p w14:paraId="7A7502F7">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数量</w:t>
            </w:r>
          </w:p>
        </w:tc>
        <w:tc>
          <w:tcPr>
            <w:tcW w:w="466" w:type="pct"/>
            <w:shd w:val="clear" w:color="auto" w:fill="FF0000"/>
            <w:vAlign w:val="center"/>
          </w:tcPr>
          <w:p w14:paraId="75FFB563">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交货日期</w:t>
            </w:r>
          </w:p>
        </w:tc>
        <w:tc>
          <w:tcPr>
            <w:tcW w:w="443" w:type="pct"/>
            <w:vAlign w:val="center"/>
          </w:tcPr>
          <w:p w14:paraId="6DDE9A50">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质保期（不低于）</w:t>
            </w:r>
          </w:p>
        </w:tc>
        <w:tc>
          <w:tcPr>
            <w:tcW w:w="354" w:type="pct"/>
            <w:vAlign w:val="center"/>
          </w:tcPr>
          <w:p w14:paraId="0FD2D8F0">
            <w:pPr>
              <w:widowControl/>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交货地点</w:t>
            </w:r>
          </w:p>
        </w:tc>
        <w:tc>
          <w:tcPr>
            <w:tcW w:w="513" w:type="pct"/>
            <w:vAlign w:val="center"/>
          </w:tcPr>
          <w:p w14:paraId="23773DC9">
            <w:pPr>
              <w:widowControl/>
              <w:spacing w:line="300" w:lineRule="exact"/>
              <w:jc w:val="center"/>
              <w:textAlignment w:val="center"/>
              <w:rPr>
                <w:rStyle w:val="18"/>
                <w:rFonts w:hint="eastAsia" w:ascii="宋体" w:hAnsi="宋体" w:eastAsia="宋体" w:cs="宋体"/>
                <w:color w:val="auto"/>
                <w:sz w:val="24"/>
                <w:szCs w:val="24"/>
                <w:highlight w:val="none"/>
                <w:lang w:val="en-US" w:eastAsia="zh-CN" w:bidi="ar"/>
              </w:rPr>
            </w:pPr>
            <w:r>
              <w:rPr>
                <w:rStyle w:val="18"/>
                <w:rFonts w:hint="eastAsia" w:ascii="宋体" w:hAnsi="宋体" w:eastAsia="宋体" w:cs="宋体"/>
                <w:color w:val="auto"/>
                <w:sz w:val="24"/>
                <w:szCs w:val="24"/>
                <w:highlight w:val="none"/>
                <w:lang w:val="en-US" w:eastAsia="zh-CN" w:bidi="ar"/>
              </w:rPr>
              <w:t>专用业绩要求</w:t>
            </w:r>
          </w:p>
        </w:tc>
      </w:tr>
      <w:tr w14:paraId="58B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01" w:type="pct"/>
            <w:vMerge w:val="restart"/>
            <w:vAlign w:val="center"/>
          </w:tcPr>
          <w:p w14:paraId="76DF39B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视觉引导单元、作业环境感知模组等采购项目</w:t>
            </w:r>
          </w:p>
        </w:tc>
        <w:tc>
          <w:tcPr>
            <w:tcW w:w="435" w:type="pct"/>
            <w:vAlign w:val="center"/>
          </w:tcPr>
          <w:p w14:paraId="6CB6156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电力专用手臂</w:t>
            </w:r>
          </w:p>
        </w:tc>
        <w:tc>
          <w:tcPr>
            <w:tcW w:w="1863" w:type="pct"/>
            <w:vAlign w:val="center"/>
          </w:tcPr>
          <w:p w14:paraId="69D4478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自由度：6；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额定负载：20kg；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负载/自重比：达到1:3；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末端最大速度：0.3m/s；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位置重复性：≤0.050mm）；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适应温度：-20~50℃。</w:t>
            </w:r>
          </w:p>
        </w:tc>
        <w:tc>
          <w:tcPr>
            <w:tcW w:w="227" w:type="pct"/>
            <w:shd w:val="clear" w:color="auto" w:fill="FFFFFF"/>
            <w:vAlign w:val="center"/>
          </w:tcPr>
          <w:p w14:paraId="0FC828B0">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94" w:type="pct"/>
            <w:vAlign w:val="center"/>
          </w:tcPr>
          <w:p w14:paraId="0CCD8EFB">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66" w:type="pct"/>
            <w:shd w:val="clear" w:color="auto" w:fill="FF0000"/>
            <w:vAlign w:val="center"/>
          </w:tcPr>
          <w:p w14:paraId="44F2D8A6">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接供货通知后20日内</w:t>
            </w:r>
          </w:p>
        </w:tc>
        <w:tc>
          <w:tcPr>
            <w:tcW w:w="443" w:type="pct"/>
            <w:vAlign w:val="center"/>
          </w:tcPr>
          <w:p w14:paraId="336E2B40">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24个月</w:t>
            </w:r>
          </w:p>
        </w:tc>
        <w:tc>
          <w:tcPr>
            <w:tcW w:w="354" w:type="pct"/>
            <w:vAlign w:val="center"/>
          </w:tcPr>
          <w:p w14:paraId="247E1303">
            <w:pPr>
              <w:widowControl/>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bidi="ar"/>
              </w:rPr>
              <w:t>买方指定地点</w:t>
            </w:r>
          </w:p>
        </w:tc>
        <w:tc>
          <w:tcPr>
            <w:tcW w:w="513" w:type="pct"/>
            <w:vMerge w:val="restart"/>
            <w:vAlign w:val="center"/>
          </w:tcPr>
          <w:p w14:paraId="09DE6824">
            <w:pPr>
              <w:widowControl/>
              <w:spacing w:line="300" w:lineRule="exact"/>
              <w:jc w:val="center"/>
              <w:textAlignment w:val="center"/>
              <w:rPr>
                <w:rStyle w:val="19"/>
                <w:rFonts w:hint="eastAsia" w:ascii="宋体" w:hAnsi="宋体" w:eastAsia="宋体" w:cs="宋体"/>
                <w:color w:val="auto"/>
                <w:sz w:val="24"/>
                <w:szCs w:val="24"/>
                <w:highlight w:val="none"/>
                <w:lang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年1月1日至</w:t>
            </w:r>
            <w:r>
              <w:rPr>
                <w:rFonts w:hint="eastAsia" w:ascii="宋体" w:hAnsi="宋体" w:eastAsia="宋体" w:cs="宋体"/>
                <w:color w:val="auto"/>
                <w:kern w:val="0"/>
                <w:sz w:val="24"/>
                <w:szCs w:val="24"/>
                <w:highlight w:val="none"/>
                <w:lang w:val="en-US" w:eastAsia="zh-CN"/>
              </w:rPr>
              <w:t>2025年12月31日</w:t>
            </w:r>
            <w:r>
              <w:rPr>
                <w:rFonts w:hint="eastAsia" w:ascii="宋体" w:hAnsi="宋体" w:eastAsia="宋体" w:cs="宋体"/>
                <w:color w:val="auto"/>
                <w:kern w:val="0"/>
                <w:sz w:val="24"/>
                <w:szCs w:val="24"/>
                <w:highlight w:val="none"/>
              </w:rPr>
              <w:t>止，完成过机器人或</w:t>
            </w:r>
            <w:r>
              <w:rPr>
                <w:rFonts w:hint="eastAsia" w:ascii="宋体" w:hAnsi="宋体" w:eastAsia="宋体" w:cs="宋体"/>
                <w:color w:val="auto"/>
                <w:kern w:val="0"/>
                <w:sz w:val="24"/>
                <w:szCs w:val="24"/>
                <w:highlight w:val="none"/>
                <w:lang w:val="en-US" w:eastAsia="zh-CN"/>
              </w:rPr>
              <w:t>组部件（机械臂或加工件或摄像机）</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0万元。注:业绩必须提供对应的合同复印件、发票和相应查验截图。</w:t>
            </w:r>
          </w:p>
        </w:tc>
      </w:tr>
      <w:tr w14:paraId="317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401" w:type="pct"/>
            <w:vMerge w:val="continue"/>
            <w:vAlign w:val="center"/>
          </w:tcPr>
          <w:p w14:paraId="4F934BAB">
            <w:pPr>
              <w:widowControl/>
              <w:jc w:val="center"/>
              <w:textAlignment w:val="center"/>
              <w:rPr>
                <w:rFonts w:hint="eastAsia" w:ascii="宋体" w:hAnsi="宋体" w:eastAsia="宋体" w:cs="宋体"/>
                <w:color w:val="auto"/>
                <w:sz w:val="24"/>
                <w:szCs w:val="24"/>
                <w:highlight w:val="none"/>
              </w:rPr>
            </w:pPr>
          </w:p>
        </w:tc>
        <w:tc>
          <w:tcPr>
            <w:tcW w:w="435" w:type="pct"/>
            <w:vAlign w:val="center"/>
          </w:tcPr>
          <w:p w14:paraId="6EC39AE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控制管理单元</w:t>
            </w:r>
          </w:p>
        </w:tc>
        <w:tc>
          <w:tcPr>
            <w:tcW w:w="1863" w:type="pct"/>
            <w:vAlign w:val="center"/>
          </w:tcPr>
          <w:p w14:paraId="066B1E5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智能终端控制管理单元作为智能终端主体结构，应集成安装在斗臂车斗内。实现控制、通信、任务管理和结构支撑等功能。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智能终端主控系统应可通过控制终端进行操作智能终端作业，人机界面清晰友好，准确执行各类动作指令，响应迅速、及时，运动应平稳、正常。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智能终端设有急停按钮，在智能终端工作的各流程阶段按下急停按钮，智能终端系统立即停止动作，保持停止锁定状态直至急停解除；解除急停后再次启动智能终端工作流程，智能终端能继续完成待进行工作。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系统中智能终端本体与操作终端间控制信号和图像传输应采用高速率、低延时的无线通信方式。配网带电作业智能终端控制系统通过无线局域网结构配合5G网关，实现上位机远程操作终端、本地操作终端对协作机械臂、户外专用机械臂的控制及数据传输，以及协作机械臂和各种智能工具之间的互联控制，同时实现网络远程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同时智能终端本体与智能工具端也采用2.4G无线通信方式，更便捷更稳定。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智能终端电源系统包含蓄电池、电源控制模块、电源充电器、散热系统、电源箱等，其中电池采用铁锂电池48V65AH，支持智能终端本体续航时间≥4h。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智能终端结构平台可架构于斗臂车车斗上，整体采用高强度铝合金材质，内置智能终端底座平台用于手臂安装。</w:t>
            </w:r>
          </w:p>
        </w:tc>
        <w:tc>
          <w:tcPr>
            <w:tcW w:w="227" w:type="pct"/>
            <w:shd w:val="clear" w:color="auto" w:fill="FFFFFF"/>
            <w:vAlign w:val="center"/>
          </w:tcPr>
          <w:p w14:paraId="2A8F1DCD">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94" w:type="pct"/>
            <w:vAlign w:val="center"/>
          </w:tcPr>
          <w:p w14:paraId="51515E44">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66" w:type="pct"/>
            <w:shd w:val="clear" w:color="auto" w:fill="FF0000"/>
            <w:vAlign w:val="center"/>
          </w:tcPr>
          <w:p w14:paraId="27A019D5">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接供货通知后20日内</w:t>
            </w:r>
          </w:p>
        </w:tc>
        <w:tc>
          <w:tcPr>
            <w:tcW w:w="443" w:type="pct"/>
            <w:vAlign w:val="center"/>
          </w:tcPr>
          <w:p w14:paraId="394D9A43">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24个月</w:t>
            </w:r>
          </w:p>
        </w:tc>
        <w:tc>
          <w:tcPr>
            <w:tcW w:w="354" w:type="pct"/>
            <w:vAlign w:val="center"/>
          </w:tcPr>
          <w:p w14:paraId="527B1144">
            <w:pPr>
              <w:widowControl/>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13" w:type="pct"/>
            <w:vMerge w:val="continue"/>
            <w:vAlign w:val="center"/>
          </w:tcPr>
          <w:p w14:paraId="3C2660F8">
            <w:pPr>
              <w:widowControl/>
              <w:spacing w:line="300" w:lineRule="exact"/>
              <w:jc w:val="center"/>
              <w:textAlignment w:val="center"/>
              <w:rPr>
                <w:rStyle w:val="19"/>
                <w:rFonts w:hint="eastAsia" w:ascii="宋体" w:hAnsi="宋体" w:eastAsia="宋体" w:cs="宋体"/>
                <w:color w:val="auto"/>
                <w:sz w:val="24"/>
                <w:szCs w:val="24"/>
                <w:highlight w:val="none"/>
                <w:lang w:bidi="ar"/>
              </w:rPr>
            </w:pPr>
          </w:p>
        </w:tc>
      </w:tr>
      <w:tr w14:paraId="58A6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401" w:type="pct"/>
            <w:vMerge w:val="continue"/>
            <w:vAlign w:val="center"/>
          </w:tcPr>
          <w:p w14:paraId="403B4D7A">
            <w:pPr>
              <w:widowControl/>
              <w:jc w:val="center"/>
              <w:textAlignment w:val="center"/>
              <w:rPr>
                <w:rFonts w:hint="eastAsia" w:ascii="宋体" w:hAnsi="宋体" w:eastAsia="宋体" w:cs="宋体"/>
                <w:color w:val="auto"/>
                <w:sz w:val="24"/>
                <w:szCs w:val="24"/>
                <w:highlight w:val="none"/>
              </w:rPr>
            </w:pPr>
          </w:p>
        </w:tc>
        <w:tc>
          <w:tcPr>
            <w:tcW w:w="435" w:type="pct"/>
            <w:vAlign w:val="center"/>
          </w:tcPr>
          <w:p w14:paraId="1DF957A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作业环境感知模组</w:t>
            </w:r>
          </w:p>
        </w:tc>
        <w:tc>
          <w:tcPr>
            <w:tcW w:w="1863" w:type="pct"/>
            <w:vAlign w:val="center"/>
          </w:tcPr>
          <w:p w14:paraId="2A4F5C9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环境感知系统包括智能终端气象环境感知系统和视频监控系统，集成视频监控、气象传感器、数据采集器、传输系统为一体，实时、精准监测带电作业现场的多种气象参数，包括风速、风向、气温、湿度、气压等信息，不满气象条件发出报警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智能终端感知系统主要技术参数：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监控摄像头像素：400万；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风速感知：0~40m/s，启动风速为0.5m/s ±0.5+2%FS；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风向感知：0~359°,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湿度感知：0%RH~99%RH, ±3%RH；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温度感知：-40℃~+80℃, ±0.5℃；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大气压力感知：0-130kPa, ±0.15kPa；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噪声感知：30dB~120dB, ±0.5dB；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PM2.5感知：0-1000μg/m3；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光照强度感知：0~20万Lux, ±7%。</w:t>
            </w:r>
          </w:p>
        </w:tc>
        <w:tc>
          <w:tcPr>
            <w:tcW w:w="227" w:type="pct"/>
            <w:shd w:val="clear" w:color="auto" w:fill="FFFFFF"/>
            <w:vAlign w:val="center"/>
          </w:tcPr>
          <w:p w14:paraId="0F6681F3">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94" w:type="pct"/>
            <w:vAlign w:val="center"/>
          </w:tcPr>
          <w:p w14:paraId="5AFB3D60">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66" w:type="pct"/>
            <w:shd w:val="clear" w:color="auto" w:fill="FF0000"/>
            <w:vAlign w:val="center"/>
          </w:tcPr>
          <w:p w14:paraId="4C153E92">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接供货通知后20日内</w:t>
            </w:r>
          </w:p>
        </w:tc>
        <w:tc>
          <w:tcPr>
            <w:tcW w:w="443" w:type="pct"/>
            <w:vAlign w:val="center"/>
          </w:tcPr>
          <w:p w14:paraId="7B154C1A">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24个月</w:t>
            </w:r>
          </w:p>
        </w:tc>
        <w:tc>
          <w:tcPr>
            <w:tcW w:w="354" w:type="pct"/>
            <w:vAlign w:val="center"/>
          </w:tcPr>
          <w:p w14:paraId="0B38729E">
            <w:pPr>
              <w:widowControl/>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13" w:type="pct"/>
            <w:vMerge w:val="continue"/>
            <w:vAlign w:val="center"/>
          </w:tcPr>
          <w:p w14:paraId="5DDF44DF">
            <w:pPr>
              <w:widowControl/>
              <w:spacing w:line="300" w:lineRule="exact"/>
              <w:jc w:val="center"/>
              <w:textAlignment w:val="center"/>
              <w:rPr>
                <w:rStyle w:val="19"/>
                <w:rFonts w:hint="eastAsia" w:ascii="宋体" w:hAnsi="宋体" w:eastAsia="宋体" w:cs="宋体"/>
                <w:color w:val="auto"/>
                <w:sz w:val="24"/>
                <w:szCs w:val="24"/>
                <w:highlight w:val="none"/>
                <w:lang w:bidi="ar"/>
              </w:rPr>
            </w:pPr>
          </w:p>
        </w:tc>
      </w:tr>
      <w:tr w14:paraId="3A08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01" w:type="pct"/>
            <w:vMerge w:val="continue"/>
            <w:vAlign w:val="center"/>
          </w:tcPr>
          <w:p w14:paraId="1095107C">
            <w:pPr>
              <w:widowControl/>
              <w:jc w:val="center"/>
              <w:textAlignment w:val="center"/>
              <w:rPr>
                <w:rFonts w:hint="eastAsia" w:ascii="宋体" w:hAnsi="宋体" w:eastAsia="宋体" w:cs="宋体"/>
                <w:color w:val="auto"/>
                <w:sz w:val="24"/>
                <w:szCs w:val="24"/>
                <w:highlight w:val="none"/>
              </w:rPr>
            </w:pPr>
          </w:p>
        </w:tc>
        <w:tc>
          <w:tcPr>
            <w:tcW w:w="435" w:type="pct"/>
            <w:vAlign w:val="center"/>
          </w:tcPr>
          <w:p w14:paraId="76BCB8B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视觉引导单元</w:t>
            </w:r>
          </w:p>
        </w:tc>
        <w:tc>
          <w:tcPr>
            <w:tcW w:w="1863" w:type="pct"/>
            <w:vAlign w:val="center"/>
          </w:tcPr>
          <w:p w14:paraId="5E83C31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智能终端采用机器引导视觉，无须雷达建模。引导系统包含高清视觉模组和视觉识别算法系统，可精确识别电线的线径、空间坐标和角度姿态，能够自主识别导线位置，判断导线空间姿态，自主选择作业位置，引导智能终端进行定点作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智能终端视觉引导系统技术参数：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电压：21V锂电池；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额定电流：0.5A；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摄像头像素：600W；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识别特征类型：识别特定作业场景比如绝缘子、螺丝位置定位等；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导线定位精度：≤13mm角度±2度；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智能终端控制方式：无线；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模组通讯方式：lora无线通讯。</w:t>
            </w:r>
          </w:p>
        </w:tc>
        <w:tc>
          <w:tcPr>
            <w:tcW w:w="227" w:type="pct"/>
            <w:shd w:val="clear" w:color="auto" w:fill="FFFFFF"/>
            <w:vAlign w:val="center"/>
          </w:tcPr>
          <w:p w14:paraId="4C0EEF7A">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94" w:type="pct"/>
            <w:vAlign w:val="center"/>
          </w:tcPr>
          <w:p w14:paraId="5D07A435">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66" w:type="pct"/>
            <w:shd w:val="clear" w:color="auto" w:fill="FF0000"/>
            <w:vAlign w:val="center"/>
          </w:tcPr>
          <w:p w14:paraId="2AC45BF1">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接供货通知后20日内</w:t>
            </w:r>
          </w:p>
        </w:tc>
        <w:tc>
          <w:tcPr>
            <w:tcW w:w="443" w:type="pct"/>
            <w:vAlign w:val="center"/>
          </w:tcPr>
          <w:p w14:paraId="47198264">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24个月</w:t>
            </w:r>
          </w:p>
        </w:tc>
        <w:tc>
          <w:tcPr>
            <w:tcW w:w="354" w:type="pct"/>
            <w:vAlign w:val="center"/>
          </w:tcPr>
          <w:p w14:paraId="5CF42882">
            <w:pPr>
              <w:widowControl/>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13" w:type="pct"/>
            <w:vMerge w:val="continue"/>
            <w:vAlign w:val="center"/>
          </w:tcPr>
          <w:p w14:paraId="4BFC3EDD">
            <w:pPr>
              <w:widowControl/>
              <w:spacing w:line="300" w:lineRule="exact"/>
              <w:jc w:val="center"/>
              <w:textAlignment w:val="center"/>
              <w:rPr>
                <w:rStyle w:val="19"/>
                <w:rFonts w:hint="eastAsia" w:ascii="宋体" w:hAnsi="宋体" w:eastAsia="宋体" w:cs="宋体"/>
                <w:color w:val="auto"/>
                <w:sz w:val="24"/>
                <w:szCs w:val="24"/>
                <w:highlight w:val="none"/>
                <w:lang w:bidi="ar"/>
              </w:rPr>
            </w:pPr>
          </w:p>
        </w:tc>
      </w:tr>
      <w:tr w14:paraId="1FC2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01" w:type="pct"/>
            <w:vMerge w:val="continue"/>
            <w:vAlign w:val="center"/>
          </w:tcPr>
          <w:p w14:paraId="5B82BD7E">
            <w:pPr>
              <w:widowControl/>
              <w:jc w:val="center"/>
              <w:textAlignment w:val="center"/>
              <w:rPr>
                <w:rFonts w:hint="eastAsia" w:ascii="宋体" w:hAnsi="宋体" w:eastAsia="宋体" w:cs="宋体"/>
                <w:color w:val="auto"/>
                <w:sz w:val="24"/>
                <w:szCs w:val="24"/>
                <w:highlight w:val="none"/>
              </w:rPr>
            </w:pPr>
          </w:p>
        </w:tc>
        <w:tc>
          <w:tcPr>
            <w:tcW w:w="435" w:type="pct"/>
            <w:vAlign w:val="center"/>
          </w:tcPr>
          <w:p w14:paraId="03B1FF9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斗臂车导航单元</w:t>
            </w:r>
          </w:p>
        </w:tc>
        <w:tc>
          <w:tcPr>
            <w:tcW w:w="1863" w:type="pct"/>
            <w:vAlign w:val="center"/>
          </w:tcPr>
          <w:p w14:paraId="2E5D1BC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斗臂车导航系统主要实现智能终端所在绝缘车斗的位置自动导航及控制，实现斗车自动作业位控制。系统以视觉引导，自动空间坐标，提供三维坐标。系统实时提供作业参考位置，并可以切换平板电脑和液压操作杆控制。</w:t>
            </w:r>
          </w:p>
        </w:tc>
        <w:tc>
          <w:tcPr>
            <w:tcW w:w="227" w:type="pct"/>
            <w:shd w:val="clear" w:color="auto" w:fill="FFFFFF"/>
            <w:vAlign w:val="center"/>
          </w:tcPr>
          <w:p w14:paraId="4FF5D70E">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94" w:type="pct"/>
            <w:vAlign w:val="center"/>
          </w:tcPr>
          <w:p w14:paraId="786DB0F4">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66" w:type="pct"/>
            <w:shd w:val="clear" w:color="auto" w:fill="FF0000"/>
            <w:vAlign w:val="center"/>
          </w:tcPr>
          <w:p w14:paraId="64F8C65A">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接供货通知后20日内</w:t>
            </w:r>
          </w:p>
        </w:tc>
        <w:tc>
          <w:tcPr>
            <w:tcW w:w="443" w:type="pct"/>
            <w:vAlign w:val="center"/>
          </w:tcPr>
          <w:p w14:paraId="3DAE16CA">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24个月</w:t>
            </w:r>
          </w:p>
        </w:tc>
        <w:tc>
          <w:tcPr>
            <w:tcW w:w="354" w:type="pct"/>
            <w:vAlign w:val="center"/>
          </w:tcPr>
          <w:p w14:paraId="7F0B7D87">
            <w:pPr>
              <w:widowControl/>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13" w:type="pct"/>
            <w:vMerge w:val="continue"/>
            <w:vAlign w:val="center"/>
          </w:tcPr>
          <w:p w14:paraId="32B4DF59">
            <w:pPr>
              <w:widowControl/>
              <w:spacing w:line="300" w:lineRule="exact"/>
              <w:jc w:val="center"/>
              <w:textAlignment w:val="center"/>
              <w:rPr>
                <w:rStyle w:val="19"/>
                <w:rFonts w:hint="eastAsia" w:ascii="宋体" w:hAnsi="宋体" w:eastAsia="宋体" w:cs="宋体"/>
                <w:color w:val="auto"/>
                <w:sz w:val="24"/>
                <w:szCs w:val="24"/>
                <w:highlight w:val="none"/>
                <w:lang w:bidi="ar"/>
              </w:rPr>
            </w:pPr>
          </w:p>
        </w:tc>
      </w:tr>
      <w:tr w14:paraId="0C8F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401" w:type="pct"/>
            <w:vMerge w:val="continue"/>
            <w:vAlign w:val="center"/>
          </w:tcPr>
          <w:p w14:paraId="2175BBAD">
            <w:pPr>
              <w:widowControl/>
              <w:jc w:val="center"/>
              <w:textAlignment w:val="center"/>
              <w:rPr>
                <w:rFonts w:hint="eastAsia" w:ascii="宋体" w:hAnsi="宋体" w:eastAsia="宋体" w:cs="宋体"/>
                <w:color w:val="auto"/>
                <w:sz w:val="24"/>
                <w:szCs w:val="24"/>
                <w:highlight w:val="none"/>
              </w:rPr>
            </w:pPr>
          </w:p>
        </w:tc>
        <w:tc>
          <w:tcPr>
            <w:tcW w:w="435" w:type="pct"/>
            <w:vAlign w:val="center"/>
          </w:tcPr>
          <w:p w14:paraId="670D5E3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集成智能工具组</w:t>
            </w:r>
          </w:p>
        </w:tc>
        <w:tc>
          <w:tcPr>
            <w:tcW w:w="1863" w:type="pct"/>
            <w:vAlign w:val="center"/>
          </w:tcPr>
          <w:p w14:paraId="445C01F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集成工具组安装在作业工具盘上，与专用手臂之间采用负压吸附进行连接，可方便切换。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（1）剥皮器工具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剥皮器工具预置验电功能，全过程对各相导线进行验电操作。剥皮器自带夹爪，可自主夹持导线，并自动行走，无需预置参数，实现对主导线自主无损剥皮。。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剥皮器工具技术参数：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电压：21V锂电池；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额定电流：0.5A；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转速：63转/分钟;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额定力矩：22kg·cm;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堵转力矩：52kg·cm;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支持线径：70~240mm²;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控制方式：无线；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通讯方式：lora无线通讯。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（2）引流线安装工具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引流线安装工具可抓线、线夹安装、螺丝紧固等多功能为一体。支持绝缘自恢复安装引流线。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线夹安装工具技术参数：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电压：21V锂电池；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额定电流：0.5A；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夹紧力：&gt;20N/m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紧固力：&gt;40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支持线夹类型：并沟线夹（如：XHXJ01）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控制方式：无线；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通讯方式：lora无线通讯。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（3）剪钳工具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剪钳刀头最大剪断截面积300mm²钢芯铝绞线；并带夹持功能，时夹持导线到指定位置。并能对线路下方树枝等障碍进行修剪。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断线剪钳技术参数：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电压：21V锂电池；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额定电流：0.5A；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支持断线线径：包含50~240mm²钢芯线缆；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控制方式：无线；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通讯方式：lora无线通讯。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（4）夹爪工具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爪工具采用气动方式，可实现夹紧抓住和放松松开制定设备或物体，通过驱鸟器（如磁吸式语音驱鸟器CZ321）、绝缘遮蔽、旁路支线等外设可以实现驱鸟器安装作业、绝缘遮蔽安装或拆除作业、旁路作业等，还可清除导线异物。整体气动控制，无需电源，更高效，更节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（5）外挂装置安装工具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外挂装置带电安装导线外挂设备，可夹紧抓住和放松外挂设备，结合气动装置卡扣等，无需电源，即可实现卡扣式外挂装置安装。</w:t>
            </w:r>
          </w:p>
        </w:tc>
        <w:tc>
          <w:tcPr>
            <w:tcW w:w="227" w:type="pct"/>
            <w:shd w:val="clear" w:color="auto" w:fill="FFFFFF"/>
            <w:vAlign w:val="center"/>
          </w:tcPr>
          <w:p w14:paraId="69001A09">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94" w:type="pct"/>
            <w:vAlign w:val="center"/>
          </w:tcPr>
          <w:p w14:paraId="76D39FEF">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66" w:type="pct"/>
            <w:shd w:val="clear" w:color="auto" w:fill="FF0000"/>
            <w:vAlign w:val="center"/>
          </w:tcPr>
          <w:p w14:paraId="1E87786F">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接供货通知后20日内</w:t>
            </w:r>
          </w:p>
        </w:tc>
        <w:tc>
          <w:tcPr>
            <w:tcW w:w="443" w:type="pct"/>
            <w:shd w:val="clear" w:color="auto" w:fill="auto"/>
            <w:vAlign w:val="center"/>
          </w:tcPr>
          <w:p w14:paraId="22E4A9F8">
            <w:pPr>
              <w:widowControl/>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24个月</w:t>
            </w:r>
          </w:p>
        </w:tc>
        <w:tc>
          <w:tcPr>
            <w:tcW w:w="354" w:type="pct"/>
            <w:shd w:val="clear" w:color="auto" w:fill="auto"/>
            <w:vAlign w:val="center"/>
          </w:tcPr>
          <w:p w14:paraId="045C6E35">
            <w:pPr>
              <w:widowControl/>
              <w:spacing w:line="300" w:lineRule="exact"/>
              <w:jc w:val="center"/>
              <w:textAlignment w:val="center"/>
              <w:rPr>
                <w:rFonts w:hint="eastAsia" w:ascii="宋体" w:hAnsi="宋体" w:eastAsia="宋体" w:cs="宋体"/>
                <w:color w:val="auto"/>
                <w:kern w:val="2"/>
                <w:sz w:val="24"/>
                <w:szCs w:val="24"/>
                <w:highlight w:val="none"/>
                <w:lang w:val="en-US" w:eastAsia="zh-CN" w:bidi="ar-SA"/>
              </w:rPr>
            </w:pPr>
            <w:r>
              <w:rPr>
                <w:rStyle w:val="19"/>
                <w:rFonts w:hint="eastAsia" w:ascii="宋体" w:hAnsi="宋体" w:eastAsia="宋体" w:cs="宋体"/>
                <w:color w:val="auto"/>
                <w:sz w:val="24"/>
                <w:szCs w:val="24"/>
                <w:highlight w:val="none"/>
                <w:lang w:bidi="ar"/>
              </w:rPr>
              <w:t>买方指定地点</w:t>
            </w:r>
          </w:p>
        </w:tc>
        <w:tc>
          <w:tcPr>
            <w:tcW w:w="513" w:type="pct"/>
            <w:vMerge w:val="continue"/>
            <w:shd w:val="clear" w:color="auto" w:fill="auto"/>
            <w:vAlign w:val="center"/>
          </w:tcPr>
          <w:p w14:paraId="7356639F">
            <w:pPr>
              <w:widowControl/>
              <w:spacing w:line="300" w:lineRule="exact"/>
              <w:jc w:val="center"/>
              <w:textAlignment w:val="center"/>
              <w:rPr>
                <w:rStyle w:val="19"/>
                <w:rFonts w:hint="eastAsia" w:ascii="宋体" w:hAnsi="宋体" w:eastAsia="宋体" w:cs="宋体"/>
                <w:color w:val="auto"/>
                <w:sz w:val="24"/>
                <w:szCs w:val="24"/>
                <w:highlight w:val="none"/>
                <w:lang w:bidi="ar"/>
              </w:rPr>
            </w:pPr>
          </w:p>
        </w:tc>
      </w:tr>
    </w:tbl>
    <w:p w14:paraId="05D489BB">
      <w:pPr>
        <w:pStyle w:val="17"/>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4707138"/>
    <w:rsid w:val="04860D8F"/>
    <w:rsid w:val="07563215"/>
    <w:rsid w:val="0A8B5858"/>
    <w:rsid w:val="0A903D5A"/>
    <w:rsid w:val="0C9566ED"/>
    <w:rsid w:val="0FF52363"/>
    <w:rsid w:val="10C017AC"/>
    <w:rsid w:val="11EF4173"/>
    <w:rsid w:val="128C59EA"/>
    <w:rsid w:val="16267F4A"/>
    <w:rsid w:val="17252504"/>
    <w:rsid w:val="17832749"/>
    <w:rsid w:val="188E6C44"/>
    <w:rsid w:val="18E776A7"/>
    <w:rsid w:val="193F7A71"/>
    <w:rsid w:val="1B731E10"/>
    <w:rsid w:val="1BAC6F36"/>
    <w:rsid w:val="1E2C34DA"/>
    <w:rsid w:val="22BC120E"/>
    <w:rsid w:val="22F71DBE"/>
    <w:rsid w:val="26BD5819"/>
    <w:rsid w:val="28455ABC"/>
    <w:rsid w:val="2DC9368A"/>
    <w:rsid w:val="2EBF6414"/>
    <w:rsid w:val="376E20D9"/>
    <w:rsid w:val="3A2F2590"/>
    <w:rsid w:val="3CED70CC"/>
    <w:rsid w:val="42CE694E"/>
    <w:rsid w:val="47A86498"/>
    <w:rsid w:val="49F339E4"/>
    <w:rsid w:val="4AA15384"/>
    <w:rsid w:val="4ABD7A75"/>
    <w:rsid w:val="4D2E620D"/>
    <w:rsid w:val="4F403134"/>
    <w:rsid w:val="50E64EAF"/>
    <w:rsid w:val="50EC207F"/>
    <w:rsid w:val="511E0452"/>
    <w:rsid w:val="51340035"/>
    <w:rsid w:val="516A3318"/>
    <w:rsid w:val="526F62CD"/>
    <w:rsid w:val="5B840771"/>
    <w:rsid w:val="637846F9"/>
    <w:rsid w:val="668F4233"/>
    <w:rsid w:val="67517079"/>
    <w:rsid w:val="699B2708"/>
    <w:rsid w:val="6B0F6C92"/>
    <w:rsid w:val="6B8F54C3"/>
    <w:rsid w:val="72A11576"/>
    <w:rsid w:val="762519CD"/>
    <w:rsid w:val="77327AD9"/>
    <w:rsid w:val="779E0348"/>
    <w:rsid w:val="77C16217"/>
    <w:rsid w:val="7BCB0989"/>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font11"/>
    <w:basedOn w:val="12"/>
    <w:qFormat/>
    <w:uiPriority w:val="0"/>
    <w:rPr>
      <w:rFonts w:hint="eastAsia" w:ascii="仿宋" w:hAnsi="仿宋" w:eastAsia="仿宋" w:cs="仿宋"/>
      <w:b/>
      <w:bCs/>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4935</Words>
  <Characters>5453</Characters>
  <Lines>0</Lines>
  <Paragraphs>0</Paragraphs>
  <TotalTime>5</TotalTime>
  <ScaleCrop>false</ScaleCrop>
  <LinksUpToDate>false</LinksUpToDate>
  <CharactersWithSpaces>5477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604CBEFC50C646CAA8C1102E1119D7DE_13</vt:lpwstr>
  </property>
  <property fmtid="{D5CDD505-2E9C-101B-9397-08002B2CF9AE}" pid="4" name="KSOTemplateDocerSaveRecord">
    <vt:lpwstr>eyJoZGlkIjoiMjgzMmI5ZmUwMzE0MGI5MWNlMTg5OTkzMTBlM2E5NWUiLCJ1c2VySWQiOiI3MzAwNjQ3NTMifQ==</vt:lpwstr>
  </property>
</Properties>
</file>