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0A225">
      <w:pPr>
        <w:pStyle w:val="11"/>
        <w:spacing w:line="400" w:lineRule="exact"/>
        <w:rPr>
          <w:rFonts w:hint="eastAsia" w:ascii="黑体" w:hAnsi="黑体" w:eastAsia="黑体" w:cs="黑体"/>
          <w:b/>
          <w:bCs/>
          <w:color w:val="000000" w:themeColor="text1"/>
          <w:kern w:val="2"/>
          <w:sz w:val="24"/>
          <w:szCs w:val="24"/>
          <w:highlight w:val="none"/>
          <w:lang w:val="en-US"/>
          <w14:textFill>
            <w14:solidFill>
              <w14:schemeClr w14:val="tx1"/>
            </w14:solidFill>
          </w14:textFill>
        </w:rPr>
      </w:pPr>
      <w:bookmarkStart w:id="0" w:name="_GoBack"/>
      <w:bookmarkEnd w:id="0"/>
      <w:r>
        <w:rPr>
          <w:rFonts w:ascii="黑体" w:hAnsi="黑体" w:eastAsia="黑体" w:cs="黑体"/>
          <w:b/>
          <w:bCs/>
          <w:color w:val="000000" w:themeColor="text1"/>
          <w:kern w:val="2"/>
          <w:sz w:val="24"/>
          <w:szCs w:val="24"/>
          <w:highlight w:val="none"/>
          <w:lang w:val="en-US"/>
          <w14:textFill>
            <w14:solidFill>
              <w14:schemeClr w14:val="tx1"/>
            </w14:solidFill>
          </w14:textFill>
        </w:rPr>
        <w:t xml:space="preserve">附件 </w:t>
      </w:r>
      <w:r>
        <w:rPr>
          <w:rFonts w:hint="eastAsia" w:ascii="黑体" w:hAnsi="黑体" w:eastAsia="黑体" w:cs="黑体"/>
          <w:b/>
          <w:bCs/>
          <w:color w:val="000000" w:themeColor="text1"/>
          <w:kern w:val="2"/>
          <w:sz w:val="24"/>
          <w:szCs w:val="24"/>
          <w:highlight w:val="none"/>
          <w:lang w:val="en-US"/>
          <w14:textFill>
            <w14:solidFill>
              <w14:schemeClr w14:val="tx1"/>
            </w14:solidFill>
          </w14:textFill>
        </w:rPr>
        <w:t>招标公告附件</w:t>
      </w:r>
    </w:p>
    <w:p w14:paraId="6C41FECD">
      <w:pPr>
        <w:pStyle w:val="11"/>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分标一：船舶换电站效能提升技术服务劳务项目</w:t>
      </w:r>
    </w:p>
    <w:p w14:paraId="680D554D">
      <w:pPr>
        <w:pStyle w:val="11"/>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分标编号：CY0626SFWP24FZ01</w:t>
      </w:r>
    </w:p>
    <w:tbl>
      <w:tblPr>
        <w:tblStyle w:val="8"/>
        <w:tblW w:w="14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2442"/>
        <w:gridCol w:w="833"/>
        <w:gridCol w:w="831"/>
        <w:gridCol w:w="1433"/>
        <w:gridCol w:w="959"/>
        <w:gridCol w:w="1976"/>
        <w:gridCol w:w="2344"/>
        <w:gridCol w:w="1481"/>
      </w:tblGrid>
      <w:tr w14:paraId="08C4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73" w:type="dxa"/>
            <w:vAlign w:val="center"/>
          </w:tcPr>
          <w:p w14:paraId="5087FE4F">
            <w:pPr>
              <w:widowControl/>
              <w:jc w:val="center"/>
              <w:rPr>
                <w:rFonts w:hint="eastAsia" w:ascii="仿宋" w:hAnsi="仿宋" w:eastAsia="仿宋" w:cs="Arial"/>
                <w:b/>
                <w:bCs/>
                <w:color w:val="000000" w:themeColor="text1"/>
                <w:kern w:val="0"/>
                <w:sz w:val="22"/>
                <w:szCs w:val="22"/>
                <w14:textFill>
                  <w14:solidFill>
                    <w14:schemeClr w14:val="tx1"/>
                  </w14:solidFill>
                </w14:textFill>
              </w:rPr>
            </w:pPr>
            <w:r>
              <w:rPr>
                <w:rFonts w:hint="eastAsia" w:ascii="仿宋" w:hAnsi="仿宋" w:eastAsia="仿宋" w:cs="Arial"/>
                <w:b/>
                <w:bCs/>
                <w:color w:val="000000" w:themeColor="text1"/>
                <w:kern w:val="0"/>
                <w:sz w:val="22"/>
                <w:szCs w:val="22"/>
                <w14:textFill>
                  <w14:solidFill>
                    <w14:schemeClr w14:val="tx1"/>
                  </w14:solidFill>
                </w14:textFill>
              </w:rPr>
              <w:t>项目名称</w:t>
            </w:r>
          </w:p>
        </w:tc>
        <w:tc>
          <w:tcPr>
            <w:tcW w:w="2442" w:type="dxa"/>
            <w:vAlign w:val="center"/>
          </w:tcPr>
          <w:p w14:paraId="0C3401A2">
            <w:pPr>
              <w:widowControl/>
              <w:jc w:val="center"/>
              <w:rPr>
                <w:rFonts w:hint="eastAsia" w:ascii="仿宋" w:hAnsi="仿宋" w:eastAsia="仿宋" w:cs="Arial"/>
                <w:b/>
                <w:bCs/>
                <w:color w:val="000000" w:themeColor="text1"/>
                <w:kern w:val="0"/>
                <w:sz w:val="22"/>
                <w:szCs w:val="22"/>
                <w14:textFill>
                  <w14:solidFill>
                    <w14:schemeClr w14:val="tx1"/>
                  </w14:solidFill>
                </w14:textFill>
              </w:rPr>
            </w:pPr>
            <w:r>
              <w:rPr>
                <w:rFonts w:hint="eastAsia" w:ascii="仿宋" w:hAnsi="仿宋" w:eastAsia="仿宋" w:cs="Arial"/>
                <w:b/>
                <w:bCs/>
                <w:color w:val="000000" w:themeColor="text1"/>
                <w:kern w:val="0"/>
                <w:sz w:val="22"/>
                <w:szCs w:val="22"/>
                <w14:textFill>
                  <w14:solidFill>
                    <w14:schemeClr w14:val="tx1"/>
                  </w14:solidFill>
                </w14:textFill>
              </w:rPr>
              <w:t>服务内容</w:t>
            </w:r>
          </w:p>
        </w:tc>
        <w:tc>
          <w:tcPr>
            <w:tcW w:w="833" w:type="dxa"/>
            <w:vAlign w:val="center"/>
          </w:tcPr>
          <w:p w14:paraId="422F4AAA">
            <w:pPr>
              <w:widowControl/>
              <w:jc w:val="center"/>
              <w:rPr>
                <w:rFonts w:hint="eastAsia" w:ascii="仿宋" w:hAnsi="仿宋" w:eastAsia="仿宋" w:cs="Arial"/>
                <w:b/>
                <w:bCs/>
                <w:color w:val="000000" w:themeColor="text1"/>
                <w:kern w:val="0"/>
                <w:sz w:val="22"/>
                <w:szCs w:val="22"/>
                <w14:textFill>
                  <w14:solidFill>
                    <w14:schemeClr w14:val="tx1"/>
                  </w14:solidFill>
                </w14:textFill>
              </w:rPr>
            </w:pPr>
            <w:r>
              <w:rPr>
                <w:rFonts w:hint="eastAsia" w:ascii="仿宋" w:hAnsi="仿宋" w:eastAsia="仿宋" w:cs="Arial"/>
                <w:b/>
                <w:bCs/>
                <w:color w:val="000000" w:themeColor="text1"/>
                <w:kern w:val="0"/>
                <w:sz w:val="22"/>
                <w:szCs w:val="22"/>
                <w14:textFill>
                  <w14:solidFill>
                    <w14:schemeClr w14:val="tx1"/>
                  </w14:solidFill>
                </w14:textFill>
              </w:rPr>
              <w:t>数量</w:t>
            </w:r>
          </w:p>
        </w:tc>
        <w:tc>
          <w:tcPr>
            <w:tcW w:w="831" w:type="dxa"/>
            <w:vAlign w:val="center"/>
          </w:tcPr>
          <w:p w14:paraId="2B50390C">
            <w:pPr>
              <w:widowControl/>
              <w:jc w:val="center"/>
              <w:rPr>
                <w:rFonts w:hint="eastAsia" w:ascii="仿宋" w:hAnsi="仿宋" w:eastAsia="仿宋" w:cs="Arial"/>
                <w:b/>
                <w:bCs/>
                <w:color w:val="000000" w:themeColor="text1"/>
                <w:kern w:val="0"/>
                <w:sz w:val="22"/>
                <w:szCs w:val="22"/>
                <w14:textFill>
                  <w14:solidFill>
                    <w14:schemeClr w14:val="tx1"/>
                  </w14:solidFill>
                </w14:textFill>
              </w:rPr>
            </w:pPr>
            <w:r>
              <w:rPr>
                <w:rFonts w:hint="eastAsia" w:ascii="仿宋" w:hAnsi="仿宋" w:eastAsia="仿宋" w:cs="Arial"/>
                <w:b/>
                <w:bCs/>
                <w:color w:val="000000" w:themeColor="text1"/>
                <w:kern w:val="0"/>
                <w:sz w:val="22"/>
                <w:szCs w:val="22"/>
                <w14:textFill>
                  <w14:solidFill>
                    <w14:schemeClr w14:val="tx1"/>
                  </w14:solidFill>
                </w14:textFill>
              </w:rPr>
              <w:t>单位</w:t>
            </w:r>
          </w:p>
        </w:tc>
        <w:tc>
          <w:tcPr>
            <w:tcW w:w="1433" w:type="dxa"/>
            <w:vAlign w:val="center"/>
          </w:tcPr>
          <w:p w14:paraId="3FA93A4E">
            <w:pPr>
              <w:widowControl/>
              <w:jc w:val="center"/>
              <w:rPr>
                <w:rFonts w:hint="eastAsia" w:ascii="仿宋" w:hAnsi="仿宋" w:eastAsia="仿宋" w:cs="Arial"/>
                <w:b/>
                <w:bCs/>
                <w:color w:val="000000" w:themeColor="text1"/>
                <w:kern w:val="0"/>
                <w:sz w:val="22"/>
                <w:szCs w:val="22"/>
                <w14:textFill>
                  <w14:solidFill>
                    <w14:schemeClr w14:val="tx1"/>
                  </w14:solidFill>
                </w14:textFill>
              </w:rPr>
            </w:pPr>
            <w:r>
              <w:rPr>
                <w:rFonts w:hint="eastAsia" w:ascii="仿宋" w:hAnsi="仿宋" w:eastAsia="仿宋" w:cs="Arial"/>
                <w:b/>
                <w:bCs/>
                <w:color w:val="000000" w:themeColor="text1"/>
                <w:kern w:val="0"/>
                <w:sz w:val="22"/>
                <w:szCs w:val="22"/>
                <w14:textFill>
                  <w14:solidFill>
                    <w14:schemeClr w14:val="tx1"/>
                  </w14:solidFill>
                </w14:textFill>
              </w:rPr>
              <w:t>工期</w:t>
            </w:r>
          </w:p>
        </w:tc>
        <w:tc>
          <w:tcPr>
            <w:tcW w:w="959" w:type="dxa"/>
            <w:vAlign w:val="center"/>
          </w:tcPr>
          <w:p w14:paraId="5A2E9DF9">
            <w:pPr>
              <w:widowControl/>
              <w:jc w:val="center"/>
              <w:rPr>
                <w:rFonts w:hint="eastAsia" w:ascii="仿宋" w:hAnsi="仿宋" w:eastAsia="仿宋" w:cs="Arial"/>
                <w:b/>
                <w:bCs/>
                <w:color w:val="000000" w:themeColor="text1"/>
                <w:kern w:val="0"/>
                <w:sz w:val="22"/>
                <w:szCs w:val="22"/>
                <w14:textFill>
                  <w14:solidFill>
                    <w14:schemeClr w14:val="tx1"/>
                  </w14:solidFill>
                </w14:textFill>
              </w:rPr>
            </w:pPr>
            <w:r>
              <w:rPr>
                <w:rFonts w:hint="eastAsia" w:ascii="仿宋" w:hAnsi="仿宋" w:eastAsia="仿宋" w:cs="Arial"/>
                <w:b/>
                <w:bCs/>
                <w:color w:val="000000" w:themeColor="text1"/>
                <w:kern w:val="0"/>
                <w:sz w:val="22"/>
                <w:szCs w:val="22"/>
                <w14:textFill>
                  <w14:solidFill>
                    <w14:schemeClr w14:val="tx1"/>
                  </w14:solidFill>
                </w14:textFill>
              </w:rPr>
              <w:t>质保期</w:t>
            </w:r>
          </w:p>
        </w:tc>
        <w:tc>
          <w:tcPr>
            <w:tcW w:w="1976" w:type="dxa"/>
            <w:vAlign w:val="center"/>
          </w:tcPr>
          <w:p w14:paraId="6360A064">
            <w:pPr>
              <w:widowControl/>
              <w:jc w:val="center"/>
              <w:rPr>
                <w:rFonts w:hint="eastAsia" w:ascii="仿宋" w:hAnsi="仿宋" w:eastAsia="仿宋" w:cs="Arial"/>
                <w:b/>
                <w:bCs/>
                <w:color w:val="000000" w:themeColor="text1"/>
                <w:kern w:val="0"/>
                <w:sz w:val="22"/>
                <w:szCs w:val="22"/>
                <w14:textFill>
                  <w14:solidFill>
                    <w14:schemeClr w14:val="tx1"/>
                  </w14:solidFill>
                </w14:textFill>
              </w:rPr>
            </w:pPr>
            <w:r>
              <w:rPr>
                <w:rFonts w:hint="eastAsia" w:ascii="仿宋" w:hAnsi="仿宋" w:eastAsia="仿宋" w:cs="Arial"/>
                <w:b/>
                <w:bCs/>
                <w:kern w:val="0"/>
                <w:sz w:val="22"/>
                <w:szCs w:val="22"/>
                <w:lang w:val="en-US" w:eastAsia="zh-CN"/>
              </w:rPr>
              <w:t>专用资质要求</w:t>
            </w:r>
          </w:p>
        </w:tc>
        <w:tc>
          <w:tcPr>
            <w:tcW w:w="2344" w:type="dxa"/>
            <w:vAlign w:val="center"/>
          </w:tcPr>
          <w:p w14:paraId="1827AB93">
            <w:pPr>
              <w:widowControl/>
              <w:jc w:val="center"/>
              <w:rPr>
                <w:rFonts w:hint="eastAsia" w:ascii="仿宋" w:hAnsi="仿宋" w:eastAsia="仿宋" w:cs="Arial"/>
                <w:b/>
                <w:bCs/>
                <w:color w:val="000000" w:themeColor="text1"/>
                <w:kern w:val="0"/>
                <w:sz w:val="22"/>
                <w:szCs w:val="22"/>
                <w14:textFill>
                  <w14:solidFill>
                    <w14:schemeClr w14:val="tx1"/>
                  </w14:solidFill>
                </w14:textFill>
              </w:rPr>
            </w:pPr>
            <w:r>
              <w:rPr>
                <w:rFonts w:hint="eastAsia" w:ascii="仿宋" w:hAnsi="仿宋" w:eastAsia="仿宋" w:cs="Arial"/>
                <w:b/>
                <w:bCs/>
                <w:kern w:val="0"/>
                <w:sz w:val="22"/>
                <w:szCs w:val="22"/>
                <w:lang w:val="en-US" w:eastAsia="zh-CN"/>
              </w:rPr>
              <w:t>专用业绩要求</w:t>
            </w:r>
          </w:p>
        </w:tc>
        <w:tc>
          <w:tcPr>
            <w:tcW w:w="1481" w:type="dxa"/>
            <w:vAlign w:val="center"/>
          </w:tcPr>
          <w:p w14:paraId="20F99DB2">
            <w:pPr>
              <w:widowControl/>
              <w:jc w:val="center"/>
              <w:rPr>
                <w:rFonts w:hint="eastAsia" w:ascii="仿宋" w:hAnsi="仿宋" w:eastAsia="仿宋" w:cs="Arial"/>
                <w:b/>
                <w:bCs/>
                <w:color w:val="000000" w:themeColor="text1"/>
                <w:kern w:val="0"/>
                <w:sz w:val="22"/>
                <w:szCs w:val="22"/>
                <w14:textFill>
                  <w14:solidFill>
                    <w14:schemeClr w14:val="tx1"/>
                  </w14:solidFill>
                </w14:textFill>
              </w:rPr>
            </w:pPr>
            <w:r>
              <w:rPr>
                <w:rFonts w:hint="eastAsia" w:ascii="仿宋" w:hAnsi="仿宋" w:eastAsia="仿宋" w:cs="Arial"/>
                <w:b/>
                <w:bCs/>
                <w:kern w:val="0"/>
                <w:sz w:val="22"/>
                <w:szCs w:val="22"/>
                <w:lang w:val="en-US" w:eastAsia="zh-CN"/>
              </w:rPr>
              <w:t>保证金金额（万元）</w:t>
            </w:r>
          </w:p>
        </w:tc>
      </w:tr>
      <w:tr w14:paraId="1EE6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73" w:type="dxa"/>
            <w:vAlign w:val="center"/>
          </w:tcPr>
          <w:p w14:paraId="4AE75295">
            <w:pPr>
              <w:widowControl/>
              <w:jc w:val="left"/>
              <w:rPr>
                <w:rFonts w:hint="eastAsia" w:ascii="仿宋" w:hAnsi="仿宋" w:eastAsia="仿宋" w:cs="Arial"/>
                <w:bCs/>
                <w:color w:val="000000" w:themeColor="text1"/>
                <w:kern w:val="0"/>
                <w:sz w:val="22"/>
                <w:szCs w:val="22"/>
                <w14:textFill>
                  <w14:solidFill>
                    <w14:schemeClr w14:val="tx1"/>
                  </w14:solidFill>
                </w14:textFill>
              </w:rPr>
            </w:pPr>
            <w:r>
              <w:rPr>
                <w:rFonts w:hint="eastAsia" w:ascii="仿宋" w:hAnsi="仿宋" w:eastAsia="仿宋" w:cs="Arial"/>
                <w:bCs/>
                <w:color w:val="000000" w:themeColor="text1"/>
                <w:kern w:val="0"/>
                <w:sz w:val="22"/>
                <w:szCs w:val="22"/>
                <w14:textFill>
                  <w14:solidFill>
                    <w14:schemeClr w14:val="tx1"/>
                  </w14:solidFill>
                </w14:textFill>
              </w:rPr>
              <w:t>船舶换电站效能提升技术服务劳务采购项目</w:t>
            </w:r>
          </w:p>
        </w:tc>
        <w:tc>
          <w:tcPr>
            <w:tcW w:w="2442" w:type="dxa"/>
            <w:vAlign w:val="center"/>
          </w:tcPr>
          <w:p w14:paraId="2757F559">
            <w:pPr>
              <w:rPr>
                <w:rFonts w:hint="eastAsia" w:ascii="仿宋" w:hAnsi="仿宋" w:eastAsia="仿宋" w:cs="Arial"/>
                <w:bCs/>
                <w:color w:val="000000" w:themeColor="text1"/>
                <w:kern w:val="0"/>
                <w:sz w:val="22"/>
                <w:szCs w:val="22"/>
                <w14:textFill>
                  <w14:solidFill>
                    <w14:schemeClr w14:val="tx1"/>
                  </w14:solidFill>
                </w14:textFill>
              </w:rPr>
            </w:pPr>
            <w:r>
              <w:rPr>
                <w:rFonts w:hint="eastAsia" w:ascii="仿宋" w:hAnsi="仿宋" w:eastAsia="仿宋" w:cs="Arial"/>
                <w:bCs/>
                <w:color w:val="000000" w:themeColor="text1"/>
                <w:kern w:val="0"/>
                <w:sz w:val="22"/>
                <w:szCs w:val="22"/>
                <w14:textFill>
                  <w14:solidFill>
                    <w14:schemeClr w14:val="tx1"/>
                  </w14:solidFill>
                </w14:textFill>
              </w:rPr>
              <w:t>完成对换电站、电动船及站内设备统一管理，灵活配置充放电策略，实现资产动态管控，故障自动通知运维人员以提升处置效率；同时支持正反向电量统计，生成充电量、耗电量等报表，按关口表分类核算电量，确保数据精准可溯源，全面支撑场站高效运营。</w:t>
            </w:r>
          </w:p>
        </w:tc>
        <w:tc>
          <w:tcPr>
            <w:tcW w:w="833" w:type="dxa"/>
            <w:vAlign w:val="center"/>
          </w:tcPr>
          <w:p w14:paraId="746C1B4A">
            <w:pPr>
              <w:widowControl/>
              <w:jc w:val="center"/>
              <w:rPr>
                <w:rFonts w:hint="eastAsia" w:ascii="仿宋" w:hAnsi="仿宋" w:eastAsia="仿宋" w:cs="Arial"/>
                <w:bCs/>
                <w:color w:val="000000"/>
                <w:kern w:val="0"/>
                <w:sz w:val="22"/>
                <w:szCs w:val="22"/>
              </w:rPr>
            </w:pPr>
            <w:r>
              <w:rPr>
                <w:rFonts w:hint="eastAsia" w:ascii="仿宋" w:hAnsi="仿宋" w:eastAsia="仿宋" w:cs="Arial"/>
                <w:kern w:val="0"/>
                <w:sz w:val="22"/>
                <w:szCs w:val="22"/>
              </w:rPr>
              <w:t>1</w:t>
            </w:r>
          </w:p>
        </w:tc>
        <w:tc>
          <w:tcPr>
            <w:tcW w:w="831" w:type="dxa"/>
            <w:vAlign w:val="center"/>
          </w:tcPr>
          <w:p w14:paraId="725FDC6B">
            <w:pPr>
              <w:widowControl/>
              <w:adjustRightInd w:val="0"/>
              <w:snapToGrid w:val="0"/>
              <w:jc w:val="center"/>
              <w:rPr>
                <w:rFonts w:hint="eastAsia" w:ascii="仿宋" w:hAnsi="仿宋" w:eastAsia="仿宋" w:cs="Arial"/>
                <w:bCs/>
                <w:color w:val="000000"/>
                <w:kern w:val="0"/>
                <w:sz w:val="22"/>
                <w:szCs w:val="22"/>
              </w:rPr>
            </w:pPr>
            <w:r>
              <w:rPr>
                <w:rFonts w:hint="eastAsia" w:ascii="仿宋" w:hAnsi="仿宋" w:eastAsia="仿宋" w:cs="Arial"/>
                <w:bCs/>
                <w:color w:val="000000"/>
                <w:kern w:val="0"/>
                <w:sz w:val="22"/>
                <w:szCs w:val="22"/>
              </w:rPr>
              <w:t>宗</w:t>
            </w:r>
          </w:p>
        </w:tc>
        <w:tc>
          <w:tcPr>
            <w:tcW w:w="1433" w:type="dxa"/>
            <w:vAlign w:val="center"/>
          </w:tcPr>
          <w:p w14:paraId="6297DC7F">
            <w:pPr>
              <w:widowControl/>
              <w:adjustRightInd w:val="0"/>
              <w:snapToGrid w:val="0"/>
              <w:jc w:val="center"/>
              <w:rPr>
                <w:rFonts w:hint="eastAsia" w:ascii="仿宋" w:hAnsi="仿宋" w:eastAsia="仿宋" w:cs="Arial"/>
                <w:bCs/>
                <w:color w:val="000000"/>
                <w:kern w:val="0"/>
                <w:sz w:val="22"/>
                <w:szCs w:val="22"/>
              </w:rPr>
            </w:pPr>
            <w:r>
              <w:rPr>
                <w:rFonts w:hint="eastAsia" w:ascii="仿宋" w:hAnsi="仿宋" w:eastAsia="仿宋" w:cs="Arial"/>
                <w:bCs/>
                <w:color w:val="000000" w:themeColor="text1"/>
                <w:kern w:val="0"/>
                <w:sz w:val="22"/>
                <w:szCs w:val="22"/>
                <w14:textFill>
                  <w14:solidFill>
                    <w14:schemeClr w14:val="tx1"/>
                  </w14:solidFill>
                </w14:textFill>
              </w:rPr>
              <w:t xml:space="preserve">订单签订后30日 </w:t>
            </w:r>
          </w:p>
        </w:tc>
        <w:tc>
          <w:tcPr>
            <w:tcW w:w="959" w:type="dxa"/>
            <w:vAlign w:val="center"/>
          </w:tcPr>
          <w:p w14:paraId="76F2D611">
            <w:pPr>
              <w:widowControl/>
              <w:adjustRightInd w:val="0"/>
              <w:snapToGrid w:val="0"/>
              <w:jc w:val="center"/>
              <w:rPr>
                <w:rFonts w:hint="eastAsia" w:ascii="仿宋" w:hAnsi="仿宋" w:eastAsia="仿宋" w:cs="Arial"/>
                <w:bCs/>
                <w:color w:val="000000" w:themeColor="text1"/>
                <w:kern w:val="0"/>
                <w:sz w:val="22"/>
                <w:szCs w:val="22"/>
                <w14:textFill>
                  <w14:solidFill>
                    <w14:schemeClr w14:val="tx1"/>
                  </w14:solidFill>
                </w14:textFill>
              </w:rPr>
            </w:pPr>
            <w:r>
              <w:rPr>
                <w:rFonts w:hint="eastAsia" w:ascii="仿宋" w:hAnsi="仿宋" w:eastAsia="仿宋" w:cs="Arial"/>
                <w:bCs/>
                <w:color w:val="000000" w:themeColor="text1"/>
                <w:kern w:val="0"/>
                <w:sz w:val="22"/>
                <w:szCs w:val="22"/>
                <w14:textFill>
                  <w14:solidFill>
                    <w14:schemeClr w14:val="tx1"/>
                  </w14:solidFill>
                </w14:textFill>
              </w:rPr>
              <w:t>/</w:t>
            </w:r>
          </w:p>
        </w:tc>
        <w:tc>
          <w:tcPr>
            <w:tcW w:w="1976" w:type="dxa"/>
            <w:vAlign w:val="center"/>
          </w:tcPr>
          <w:p w14:paraId="15244EFF">
            <w:pPr>
              <w:widowControl/>
              <w:adjustRightInd w:val="0"/>
              <w:snapToGrid w:val="0"/>
              <w:jc w:val="center"/>
              <w:rPr>
                <w:rFonts w:hint="default" w:ascii="仿宋" w:hAnsi="仿宋" w:eastAsia="仿宋" w:cs="Arial"/>
                <w:bCs/>
                <w:color w:val="000000" w:themeColor="text1"/>
                <w:kern w:val="0"/>
                <w:sz w:val="22"/>
                <w:szCs w:val="22"/>
                <w:lang w:val="en-US" w:eastAsia="zh-CN"/>
                <w14:textFill>
                  <w14:solidFill>
                    <w14:schemeClr w14:val="tx1"/>
                  </w14:solidFill>
                </w14:textFill>
              </w:rPr>
            </w:pPr>
            <w:r>
              <w:rPr>
                <w:rFonts w:hint="eastAsia" w:ascii="仿宋" w:hAnsi="仿宋" w:eastAsia="仿宋" w:cs="Arial"/>
                <w:bCs/>
                <w:color w:val="000000" w:themeColor="text1"/>
                <w:kern w:val="0"/>
                <w:sz w:val="22"/>
                <w:szCs w:val="22"/>
                <w:lang w:val="en-US" w:eastAsia="zh-CN"/>
                <w14:textFill>
                  <w14:solidFill>
                    <w14:schemeClr w14:val="tx1"/>
                  </w14:solidFill>
                </w14:textFill>
              </w:rPr>
              <w:t>1.</w:t>
            </w:r>
            <w:r>
              <w:rPr>
                <w:rFonts w:hint="eastAsia" w:ascii="仿宋" w:hAnsi="仿宋" w:eastAsia="仿宋" w:cs="宋体"/>
                <w:kern w:val="0"/>
                <w:sz w:val="22"/>
                <w:szCs w:val="22"/>
              </w:rPr>
              <w:t>服务商</w:t>
            </w:r>
            <w:r>
              <w:rPr>
                <w:rFonts w:hint="eastAsia" w:ascii="仿宋" w:hAnsi="仿宋" w:eastAsia="仿宋" w:cs="宋体"/>
                <w:kern w:val="0"/>
                <w:sz w:val="22"/>
                <w:szCs w:val="22"/>
                <w:lang w:val="en-US" w:eastAsia="zh-CN"/>
              </w:rPr>
              <w:t>2.</w:t>
            </w:r>
            <w:r>
              <w:rPr>
                <w:rFonts w:hint="eastAsia" w:ascii="仿宋" w:hAnsi="仿宋" w:eastAsia="仿宋" w:cs="宋体"/>
                <w:color w:val="000000"/>
                <w:kern w:val="0"/>
                <w:sz w:val="22"/>
                <w:szCs w:val="22"/>
              </w:rPr>
              <w:t>应答</w:t>
            </w:r>
            <w:r>
              <w:rPr>
                <w:rFonts w:hint="eastAsia" w:ascii="仿宋" w:hAnsi="仿宋" w:eastAsia="仿宋" w:cs="宋体"/>
                <w:kern w:val="0"/>
                <w:sz w:val="22"/>
                <w:szCs w:val="22"/>
              </w:rPr>
              <w:t>人需提供不少于</w:t>
            </w:r>
            <w:r>
              <w:rPr>
                <w:rFonts w:hint="eastAsia" w:ascii="仿宋" w:hAnsi="仿宋" w:eastAsia="仿宋" w:cs="宋体"/>
                <w:kern w:val="0"/>
                <w:sz w:val="22"/>
                <w:szCs w:val="22"/>
                <w:lang w:val="en-US" w:eastAsia="zh-CN"/>
              </w:rPr>
              <w:t>3</w:t>
            </w:r>
            <w:r>
              <w:rPr>
                <w:rFonts w:hint="eastAsia" w:ascii="仿宋" w:hAnsi="仿宋" w:eastAsia="仿宋" w:cs="宋体"/>
                <w:kern w:val="0"/>
                <w:sz w:val="22"/>
                <w:szCs w:val="22"/>
              </w:rPr>
              <w:t>人的实施人员团队，</w:t>
            </w:r>
            <w:r>
              <w:rPr>
                <w:rFonts w:hint="eastAsia" w:ascii="仿宋" w:hAnsi="仿宋" w:eastAsia="仿宋" w:cs="宋体"/>
                <w:color w:val="000000" w:themeColor="text1"/>
                <w:kern w:val="0"/>
                <w:sz w:val="22"/>
                <w:szCs w:val="22"/>
                <w14:textFill>
                  <w14:solidFill>
                    <w14:schemeClr w14:val="tx1"/>
                  </w14:solidFill>
                </w14:textFill>
              </w:rPr>
              <w:t>提供劳动合同及自投标文件递交截止日前近三个月在本单位的社保缴纳证明。</w:t>
            </w:r>
          </w:p>
        </w:tc>
        <w:tc>
          <w:tcPr>
            <w:tcW w:w="2344" w:type="dxa"/>
            <w:vAlign w:val="center"/>
          </w:tcPr>
          <w:p w14:paraId="197D1AD6">
            <w:pPr>
              <w:widowControl/>
              <w:adjustRightInd w:val="0"/>
              <w:snapToGrid w:val="0"/>
              <w:jc w:val="center"/>
              <w:rPr>
                <w:rFonts w:hint="eastAsia" w:ascii="仿宋" w:hAnsi="仿宋" w:eastAsia="仿宋" w:cs="Arial"/>
                <w:bCs/>
                <w:color w:val="000000" w:themeColor="text1"/>
                <w:kern w:val="0"/>
                <w:sz w:val="22"/>
                <w:szCs w:val="22"/>
                <w14:textFill>
                  <w14:solidFill>
                    <w14:schemeClr w14:val="tx1"/>
                  </w14:solidFill>
                </w14:textFill>
              </w:rPr>
            </w:pPr>
            <w:r>
              <w:rPr>
                <w:rFonts w:hint="eastAsia" w:ascii="仿宋" w:hAnsi="仿宋" w:eastAsia="仿宋" w:cs="宋体"/>
                <w:kern w:val="0"/>
                <w:sz w:val="22"/>
                <w:szCs w:val="22"/>
              </w:rPr>
              <w:t>2023年1月1日至采购公告发布日内，具有软件开发类或软件实施类合同不少于1份。</w:t>
            </w:r>
            <w:r>
              <w:rPr>
                <w:rFonts w:hint="eastAsia" w:ascii="仿宋" w:hAnsi="仿宋" w:eastAsia="仿宋" w:cs="宋体"/>
                <w:b/>
                <w:bCs/>
                <w:kern w:val="0"/>
                <w:sz w:val="22"/>
                <w:szCs w:val="22"/>
              </w:rPr>
              <w:t>（时间以合同签订日期为准，须提供用户合同封面、金额页、合同签字盖章页复印件、证明合同内容的合同页、发票复印件、发票查验结果截图</w:t>
            </w:r>
            <w:r>
              <w:rPr>
                <w:rFonts w:hint="eastAsia" w:ascii="仿宋" w:hAnsi="仿宋" w:eastAsia="仿宋" w:cs="宋体"/>
                <w:b/>
                <w:bCs/>
                <w:color w:val="000000" w:themeColor="text1"/>
                <w:kern w:val="0"/>
                <w:sz w:val="22"/>
                <w:szCs w:val="22"/>
                <w14:textFill>
                  <w14:solidFill>
                    <w14:schemeClr w14:val="tx1"/>
                  </w14:solidFill>
                </w14:textFill>
              </w:rPr>
              <w:t>。</w:t>
            </w:r>
          </w:p>
        </w:tc>
        <w:tc>
          <w:tcPr>
            <w:tcW w:w="1481" w:type="dxa"/>
            <w:vAlign w:val="center"/>
          </w:tcPr>
          <w:p w14:paraId="2C6DF5C2">
            <w:pPr>
              <w:widowControl/>
              <w:adjustRightInd w:val="0"/>
              <w:snapToGrid w:val="0"/>
              <w:jc w:val="center"/>
              <w:rPr>
                <w:rFonts w:hint="default" w:ascii="仿宋" w:hAnsi="仿宋" w:eastAsia="仿宋" w:cs="Arial"/>
                <w:bCs/>
                <w:color w:val="000000" w:themeColor="text1"/>
                <w:kern w:val="0"/>
                <w:sz w:val="22"/>
                <w:szCs w:val="22"/>
                <w:lang w:val="en-US" w:eastAsia="zh-CN"/>
                <w14:textFill>
                  <w14:solidFill>
                    <w14:schemeClr w14:val="tx1"/>
                  </w14:solidFill>
                </w14:textFill>
              </w:rPr>
            </w:pPr>
            <w:r>
              <w:rPr>
                <w:rFonts w:hint="eastAsia" w:ascii="仿宋" w:hAnsi="仿宋" w:eastAsia="仿宋" w:cs="Arial"/>
                <w:bCs/>
                <w:color w:val="000000" w:themeColor="text1"/>
                <w:kern w:val="0"/>
                <w:sz w:val="22"/>
                <w:szCs w:val="22"/>
                <w:lang w:val="en-US" w:eastAsia="zh-CN"/>
                <w14:textFill>
                  <w14:solidFill>
                    <w14:schemeClr w14:val="tx1"/>
                  </w14:solidFill>
                </w14:textFill>
              </w:rPr>
              <w:t>0.4</w:t>
            </w:r>
          </w:p>
        </w:tc>
      </w:tr>
    </w:tbl>
    <w:p w14:paraId="4C4039D0">
      <w:pPr>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具体服务不局限于上述需求一览表。应包括上述服务相关延伸服务及产品，类似升级服务及相关产品。</w:t>
      </w:r>
    </w:p>
    <w:p w14:paraId="60AF84FC">
      <w:pPr>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备注：</w:t>
      </w:r>
    </w:p>
    <w:p w14:paraId="20B2FCE3">
      <w:pPr>
        <w:rPr>
          <w:rFonts w:hint="eastAsia" w:ascii="仿宋" w:hAnsi="仿宋" w:eastAsia="仿宋"/>
          <w:color w:val="000000"/>
          <w:sz w:val="22"/>
          <w:szCs w:val="22"/>
        </w:rPr>
      </w:pPr>
      <w:r>
        <w:rPr>
          <w:rFonts w:hint="eastAsia" w:ascii="仿宋" w:hAnsi="仿宋" w:eastAsia="仿宋"/>
          <w:color w:val="000000"/>
          <w:sz w:val="22"/>
          <w:szCs w:val="22"/>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D9C5687">
      <w:pPr>
        <w:rPr>
          <w:rFonts w:hint="eastAsia" w:ascii="仿宋" w:hAnsi="仿宋" w:eastAsia="仿宋"/>
          <w:color w:val="000000"/>
          <w:sz w:val="22"/>
          <w:szCs w:val="22"/>
        </w:rPr>
      </w:pPr>
      <w:r>
        <w:rPr>
          <w:rFonts w:hint="eastAsia" w:ascii="仿宋" w:hAnsi="仿宋" w:eastAsia="仿宋"/>
          <w:color w:val="000000"/>
          <w:sz w:val="22"/>
          <w:szCs w:val="22"/>
        </w:rPr>
        <w:t>②.投标文件中提供的证明材料复印件应复印清晰、可辨认且不得遮盖、涂抹，否则视为无效。</w:t>
      </w:r>
    </w:p>
    <w:p w14:paraId="41B02626">
      <w:pPr>
        <w:rPr>
          <w:rFonts w:hint="eastAsia" w:ascii="仿宋" w:hAnsi="仿宋" w:eastAsia="仿宋"/>
          <w:sz w:val="22"/>
          <w:szCs w:val="22"/>
        </w:rPr>
      </w:pPr>
      <w:r>
        <w:rPr>
          <w:rFonts w:hint="eastAsia" w:ascii="仿宋" w:hAnsi="仿宋" w:eastAsia="仿宋"/>
          <w:color w:val="000000"/>
          <w:sz w:val="22"/>
          <w:szCs w:val="22"/>
        </w:rPr>
        <w:t>③</w:t>
      </w:r>
      <w:r>
        <w:rPr>
          <w:rFonts w:ascii="仿宋" w:hAnsi="仿宋" w:eastAsia="仿宋"/>
          <w:color w:val="000000"/>
          <w:sz w:val="22"/>
          <w:szCs w:val="22"/>
        </w:rPr>
        <w:t>.</w:t>
      </w:r>
      <w:r>
        <w:rPr>
          <w:rFonts w:hint="eastAsia" w:ascii="仿宋" w:hAnsi="仿宋" w:eastAsia="仿宋"/>
          <w:sz w:val="22"/>
          <w:szCs w:val="22"/>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rPr>
        <w:t>业绩认定时间</w:t>
      </w:r>
      <w:r>
        <w:rPr>
          <w:rFonts w:hint="eastAsia" w:ascii="仿宋" w:hAnsi="仿宋" w:eastAsia="仿宋"/>
          <w:color w:val="FF0000"/>
          <w:sz w:val="22"/>
          <w:szCs w:val="22"/>
        </w:rPr>
        <w:t>以合同签订时间为准</w:t>
      </w:r>
      <w:r>
        <w:rPr>
          <w:rFonts w:hint="eastAsia" w:ascii="仿宋" w:hAnsi="仿宋" w:eastAsia="仿宋"/>
          <w:sz w:val="22"/>
          <w:szCs w:val="22"/>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rPr>
        <w:t>业绩认定金额或份数以合同和对应发票二者中的最少数额为准。</w:t>
      </w:r>
    </w:p>
    <w:p w14:paraId="697B9BCA">
      <w:pPr>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sz w:val="22"/>
          <w:szCs w:val="22"/>
        </w:rPr>
        <w:t>④</w:t>
      </w:r>
      <w:r>
        <w:rPr>
          <w:rFonts w:ascii="仿宋" w:hAnsi="仿宋" w:eastAsia="仿宋"/>
          <w:sz w:val="22"/>
          <w:szCs w:val="22"/>
        </w:rPr>
        <w:t>.</w:t>
      </w:r>
      <w:r>
        <w:rPr>
          <w:rFonts w:hint="eastAsia" w:ascii="仿宋" w:hAnsi="仿宋" w:eastAsia="仿宋"/>
          <w:sz w:val="22"/>
          <w:szCs w:val="22"/>
        </w:rPr>
        <w:t>业绩发票影印件后须附通过</w:t>
      </w:r>
      <w:r>
        <w:rPr>
          <w:rFonts w:hint="eastAsia" w:ascii="仿宋" w:hAnsi="仿宋" w:eastAsia="仿宋"/>
          <w:b/>
          <w:bCs/>
          <w:sz w:val="22"/>
          <w:szCs w:val="22"/>
        </w:rPr>
        <w:t>国家税务总局全国增值税发票查验平台</w:t>
      </w:r>
      <w:r>
        <w:rPr>
          <w:rFonts w:hint="eastAsia" w:ascii="仿宋" w:hAnsi="仿宋" w:eastAsia="仿宋"/>
          <w:sz w:val="22"/>
          <w:szCs w:val="22"/>
        </w:rPr>
        <w:t>（网址：https://inv-veri.chinatax.gov.cn/）查验的发票结果截图，“一发票一截图”，发票开票日期</w:t>
      </w:r>
      <w:r>
        <w:rPr>
          <w:rFonts w:hint="eastAsia" w:ascii="仿宋" w:hAnsi="仿宋" w:eastAsia="仿宋"/>
          <w:color w:val="FF0000"/>
          <w:sz w:val="22"/>
          <w:szCs w:val="22"/>
        </w:rPr>
        <w:t>不得晚于</w:t>
      </w:r>
      <w:r>
        <w:rPr>
          <w:rFonts w:hint="eastAsia" w:ascii="仿宋" w:hAnsi="仿宋" w:eastAsia="仿宋"/>
          <w:sz w:val="22"/>
          <w:szCs w:val="22"/>
        </w:rPr>
        <w:t>采购公告发布时间。未提供发票或未提供对应发票查验结果截图的或发票开标日期</w:t>
      </w:r>
      <w:r>
        <w:rPr>
          <w:rFonts w:hint="eastAsia" w:ascii="仿宋" w:hAnsi="仿宋" w:eastAsia="仿宋"/>
          <w:color w:val="000000" w:themeColor="text1"/>
          <w:sz w:val="22"/>
          <w:szCs w:val="22"/>
          <w14:textFill>
            <w14:solidFill>
              <w14:schemeClr w14:val="tx1"/>
            </w14:solidFill>
          </w14:textFill>
        </w:rPr>
        <w:t>晚于</w:t>
      </w:r>
      <w:r>
        <w:rPr>
          <w:rFonts w:hint="eastAsia" w:ascii="仿宋" w:hAnsi="仿宋" w:eastAsia="仿宋"/>
          <w:sz w:val="22"/>
          <w:szCs w:val="22"/>
        </w:rPr>
        <w:t>采购公告发布时间的业绩不予认可。所有业绩支撑证明材料内容须保证清晰、可辨认且不得遮盖、涂抹。</w:t>
      </w:r>
    </w:p>
    <w:p w14:paraId="32A052AA">
      <w:pPr>
        <w:rPr>
          <w:rFonts w:hint="eastAsia" w:ascii="仿宋" w:hAnsi="仿宋" w:eastAsia="仿宋"/>
          <w:color w:val="000000" w:themeColor="text1"/>
          <w:sz w:val="22"/>
          <w:szCs w:val="22"/>
          <w14:textFill>
            <w14:solidFill>
              <w14:schemeClr w14:val="tx1"/>
            </w14:solidFill>
          </w14:textFill>
        </w:rPr>
        <w:sectPr>
          <w:footerReference r:id="rId3" w:type="default"/>
          <w:pgSz w:w="16838" w:h="11906" w:orient="landscape"/>
          <w:pgMar w:top="1800" w:right="1440" w:bottom="1800" w:left="1440" w:header="851" w:footer="992" w:gutter="0"/>
          <w:cols w:space="425" w:num="1"/>
          <w:docGrid w:type="lines" w:linePitch="312" w:charSpace="0"/>
        </w:sectPr>
      </w:pPr>
    </w:p>
    <w:p w14:paraId="5EDB8DFD">
      <w:pPr>
        <w:pStyle w:val="11"/>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分标二：充电机模块维修劳务采购项目</w:t>
      </w:r>
    </w:p>
    <w:p w14:paraId="7115472B">
      <w:pPr>
        <w:pStyle w:val="11"/>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分标编号：CY0626SFWP24FZ02</w:t>
      </w:r>
    </w:p>
    <w:tbl>
      <w:tblPr>
        <w:tblStyle w:val="8"/>
        <w:tblW w:w="1386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2442"/>
        <w:gridCol w:w="833"/>
        <w:gridCol w:w="831"/>
        <w:gridCol w:w="1433"/>
        <w:gridCol w:w="959"/>
        <w:gridCol w:w="1432"/>
        <w:gridCol w:w="2700"/>
        <w:gridCol w:w="1463"/>
      </w:tblGrid>
      <w:tr w14:paraId="1CFD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73" w:type="dxa"/>
            <w:vAlign w:val="center"/>
          </w:tcPr>
          <w:p w14:paraId="1EEE4B8D">
            <w:pPr>
              <w:widowControl/>
              <w:jc w:val="center"/>
              <w:rPr>
                <w:rFonts w:hint="eastAsia" w:ascii="仿宋" w:hAnsi="仿宋" w:eastAsia="仿宋" w:cs="Arial"/>
                <w:b/>
                <w:bCs/>
                <w:color w:val="000000" w:themeColor="text1"/>
                <w:kern w:val="0"/>
                <w:sz w:val="22"/>
                <w:szCs w:val="22"/>
                <w14:textFill>
                  <w14:solidFill>
                    <w14:schemeClr w14:val="tx1"/>
                  </w14:solidFill>
                </w14:textFill>
              </w:rPr>
            </w:pPr>
            <w:r>
              <w:rPr>
                <w:rFonts w:hint="eastAsia" w:ascii="仿宋" w:hAnsi="仿宋" w:eastAsia="仿宋" w:cs="Arial"/>
                <w:b/>
                <w:bCs/>
                <w:color w:val="000000" w:themeColor="text1"/>
                <w:kern w:val="0"/>
                <w:sz w:val="22"/>
                <w:szCs w:val="22"/>
                <w14:textFill>
                  <w14:solidFill>
                    <w14:schemeClr w14:val="tx1"/>
                  </w14:solidFill>
                </w14:textFill>
              </w:rPr>
              <w:t>项目名称</w:t>
            </w:r>
          </w:p>
        </w:tc>
        <w:tc>
          <w:tcPr>
            <w:tcW w:w="2442" w:type="dxa"/>
            <w:vAlign w:val="center"/>
          </w:tcPr>
          <w:p w14:paraId="3F02CC50">
            <w:pPr>
              <w:widowControl/>
              <w:jc w:val="center"/>
              <w:rPr>
                <w:rFonts w:hint="eastAsia" w:ascii="仿宋" w:hAnsi="仿宋" w:eastAsia="仿宋" w:cs="Arial"/>
                <w:b/>
                <w:bCs/>
                <w:color w:val="000000" w:themeColor="text1"/>
                <w:kern w:val="0"/>
                <w:sz w:val="22"/>
                <w:szCs w:val="22"/>
                <w14:textFill>
                  <w14:solidFill>
                    <w14:schemeClr w14:val="tx1"/>
                  </w14:solidFill>
                </w14:textFill>
              </w:rPr>
            </w:pPr>
            <w:r>
              <w:rPr>
                <w:rFonts w:hint="eastAsia" w:ascii="仿宋" w:hAnsi="仿宋" w:eastAsia="仿宋" w:cs="Arial"/>
                <w:b/>
                <w:bCs/>
                <w:color w:val="000000" w:themeColor="text1"/>
                <w:kern w:val="0"/>
                <w:sz w:val="22"/>
                <w:szCs w:val="22"/>
                <w14:textFill>
                  <w14:solidFill>
                    <w14:schemeClr w14:val="tx1"/>
                  </w14:solidFill>
                </w14:textFill>
              </w:rPr>
              <w:t>服务内容</w:t>
            </w:r>
          </w:p>
        </w:tc>
        <w:tc>
          <w:tcPr>
            <w:tcW w:w="833" w:type="dxa"/>
            <w:vAlign w:val="center"/>
          </w:tcPr>
          <w:p w14:paraId="0BE42BE9">
            <w:pPr>
              <w:widowControl/>
              <w:jc w:val="center"/>
              <w:rPr>
                <w:rFonts w:hint="eastAsia" w:ascii="仿宋" w:hAnsi="仿宋" w:eastAsia="仿宋" w:cs="Arial"/>
                <w:b/>
                <w:bCs/>
                <w:color w:val="000000" w:themeColor="text1"/>
                <w:kern w:val="0"/>
                <w:sz w:val="22"/>
                <w:szCs w:val="22"/>
                <w14:textFill>
                  <w14:solidFill>
                    <w14:schemeClr w14:val="tx1"/>
                  </w14:solidFill>
                </w14:textFill>
              </w:rPr>
            </w:pPr>
            <w:r>
              <w:rPr>
                <w:rFonts w:hint="eastAsia" w:ascii="仿宋" w:hAnsi="仿宋" w:eastAsia="仿宋" w:cs="Arial"/>
                <w:b/>
                <w:bCs/>
                <w:color w:val="000000" w:themeColor="text1"/>
                <w:kern w:val="0"/>
                <w:sz w:val="22"/>
                <w:szCs w:val="22"/>
                <w14:textFill>
                  <w14:solidFill>
                    <w14:schemeClr w14:val="tx1"/>
                  </w14:solidFill>
                </w14:textFill>
              </w:rPr>
              <w:t>数量</w:t>
            </w:r>
          </w:p>
        </w:tc>
        <w:tc>
          <w:tcPr>
            <w:tcW w:w="831" w:type="dxa"/>
            <w:vAlign w:val="center"/>
          </w:tcPr>
          <w:p w14:paraId="42DDAF25">
            <w:pPr>
              <w:widowControl/>
              <w:jc w:val="center"/>
              <w:rPr>
                <w:rFonts w:hint="eastAsia" w:ascii="仿宋" w:hAnsi="仿宋" w:eastAsia="仿宋" w:cs="Arial"/>
                <w:b/>
                <w:bCs/>
                <w:color w:val="000000" w:themeColor="text1"/>
                <w:kern w:val="0"/>
                <w:sz w:val="22"/>
                <w:szCs w:val="22"/>
                <w14:textFill>
                  <w14:solidFill>
                    <w14:schemeClr w14:val="tx1"/>
                  </w14:solidFill>
                </w14:textFill>
              </w:rPr>
            </w:pPr>
            <w:r>
              <w:rPr>
                <w:rFonts w:hint="eastAsia" w:ascii="仿宋" w:hAnsi="仿宋" w:eastAsia="仿宋" w:cs="Arial"/>
                <w:b/>
                <w:bCs/>
                <w:color w:val="000000" w:themeColor="text1"/>
                <w:kern w:val="0"/>
                <w:sz w:val="22"/>
                <w:szCs w:val="22"/>
                <w14:textFill>
                  <w14:solidFill>
                    <w14:schemeClr w14:val="tx1"/>
                  </w14:solidFill>
                </w14:textFill>
              </w:rPr>
              <w:t>单位</w:t>
            </w:r>
          </w:p>
        </w:tc>
        <w:tc>
          <w:tcPr>
            <w:tcW w:w="1433" w:type="dxa"/>
            <w:vAlign w:val="center"/>
          </w:tcPr>
          <w:p w14:paraId="20B5E2CF">
            <w:pPr>
              <w:widowControl/>
              <w:jc w:val="center"/>
              <w:rPr>
                <w:rFonts w:hint="eastAsia" w:ascii="仿宋" w:hAnsi="仿宋" w:eastAsia="仿宋" w:cs="Arial"/>
                <w:b/>
                <w:bCs/>
                <w:color w:val="000000" w:themeColor="text1"/>
                <w:kern w:val="0"/>
                <w:sz w:val="22"/>
                <w:szCs w:val="22"/>
                <w14:textFill>
                  <w14:solidFill>
                    <w14:schemeClr w14:val="tx1"/>
                  </w14:solidFill>
                </w14:textFill>
              </w:rPr>
            </w:pPr>
            <w:r>
              <w:rPr>
                <w:rFonts w:hint="eastAsia" w:ascii="仿宋" w:hAnsi="仿宋" w:eastAsia="仿宋" w:cs="Arial"/>
                <w:b/>
                <w:bCs/>
                <w:color w:val="000000" w:themeColor="text1"/>
                <w:kern w:val="0"/>
                <w:sz w:val="22"/>
                <w:szCs w:val="22"/>
                <w14:textFill>
                  <w14:solidFill>
                    <w14:schemeClr w14:val="tx1"/>
                  </w14:solidFill>
                </w14:textFill>
              </w:rPr>
              <w:t>工期</w:t>
            </w:r>
          </w:p>
        </w:tc>
        <w:tc>
          <w:tcPr>
            <w:tcW w:w="959" w:type="dxa"/>
            <w:vAlign w:val="center"/>
          </w:tcPr>
          <w:p w14:paraId="2D10E6D9">
            <w:pPr>
              <w:widowControl/>
              <w:jc w:val="center"/>
              <w:rPr>
                <w:rFonts w:hint="eastAsia" w:ascii="仿宋" w:hAnsi="仿宋" w:eastAsia="仿宋" w:cs="Arial"/>
                <w:b/>
                <w:bCs/>
                <w:color w:val="000000" w:themeColor="text1"/>
                <w:kern w:val="0"/>
                <w:sz w:val="22"/>
                <w:szCs w:val="22"/>
                <w14:textFill>
                  <w14:solidFill>
                    <w14:schemeClr w14:val="tx1"/>
                  </w14:solidFill>
                </w14:textFill>
              </w:rPr>
            </w:pPr>
            <w:r>
              <w:rPr>
                <w:rFonts w:hint="eastAsia" w:ascii="仿宋" w:hAnsi="仿宋" w:eastAsia="仿宋" w:cs="Arial"/>
                <w:b/>
                <w:bCs/>
                <w:color w:val="000000" w:themeColor="text1"/>
                <w:kern w:val="0"/>
                <w:sz w:val="22"/>
                <w:szCs w:val="22"/>
                <w14:textFill>
                  <w14:solidFill>
                    <w14:schemeClr w14:val="tx1"/>
                  </w14:solidFill>
                </w14:textFill>
              </w:rPr>
              <w:t>质保期</w:t>
            </w:r>
          </w:p>
        </w:tc>
        <w:tc>
          <w:tcPr>
            <w:tcW w:w="1432" w:type="dxa"/>
            <w:vAlign w:val="center"/>
          </w:tcPr>
          <w:p w14:paraId="56586545">
            <w:pPr>
              <w:widowControl/>
              <w:jc w:val="center"/>
              <w:rPr>
                <w:rFonts w:hint="eastAsia" w:ascii="仿宋" w:hAnsi="仿宋" w:eastAsia="仿宋" w:cs="Arial"/>
                <w:b/>
                <w:bCs/>
                <w:color w:val="000000" w:themeColor="text1"/>
                <w:kern w:val="0"/>
                <w:sz w:val="22"/>
                <w:szCs w:val="22"/>
                <w14:textFill>
                  <w14:solidFill>
                    <w14:schemeClr w14:val="tx1"/>
                  </w14:solidFill>
                </w14:textFill>
              </w:rPr>
            </w:pPr>
            <w:r>
              <w:rPr>
                <w:rFonts w:hint="eastAsia" w:ascii="仿宋" w:hAnsi="仿宋" w:eastAsia="仿宋" w:cs="Arial"/>
                <w:b/>
                <w:bCs/>
                <w:kern w:val="0"/>
                <w:sz w:val="22"/>
                <w:szCs w:val="22"/>
                <w:lang w:val="en-US" w:eastAsia="zh-CN"/>
              </w:rPr>
              <w:t>专用资质要求</w:t>
            </w:r>
          </w:p>
        </w:tc>
        <w:tc>
          <w:tcPr>
            <w:tcW w:w="2700" w:type="dxa"/>
            <w:vAlign w:val="center"/>
          </w:tcPr>
          <w:p w14:paraId="7578A1AD">
            <w:pPr>
              <w:widowControl/>
              <w:jc w:val="center"/>
              <w:rPr>
                <w:rFonts w:hint="eastAsia" w:ascii="仿宋" w:hAnsi="仿宋" w:eastAsia="仿宋" w:cs="Arial"/>
                <w:b/>
                <w:bCs/>
                <w:color w:val="000000" w:themeColor="text1"/>
                <w:kern w:val="0"/>
                <w:sz w:val="22"/>
                <w:szCs w:val="22"/>
                <w14:textFill>
                  <w14:solidFill>
                    <w14:schemeClr w14:val="tx1"/>
                  </w14:solidFill>
                </w14:textFill>
              </w:rPr>
            </w:pPr>
            <w:r>
              <w:rPr>
                <w:rFonts w:hint="eastAsia" w:ascii="仿宋" w:hAnsi="仿宋" w:eastAsia="仿宋" w:cs="Arial"/>
                <w:b/>
                <w:bCs/>
                <w:kern w:val="0"/>
                <w:sz w:val="22"/>
                <w:szCs w:val="22"/>
                <w:lang w:val="en-US" w:eastAsia="zh-CN"/>
              </w:rPr>
              <w:t>专用业绩要求</w:t>
            </w:r>
          </w:p>
        </w:tc>
        <w:tc>
          <w:tcPr>
            <w:tcW w:w="1463" w:type="dxa"/>
            <w:vAlign w:val="center"/>
          </w:tcPr>
          <w:p w14:paraId="06309FD7">
            <w:pPr>
              <w:widowControl/>
              <w:jc w:val="center"/>
              <w:rPr>
                <w:rFonts w:hint="eastAsia" w:ascii="仿宋" w:hAnsi="仿宋" w:eastAsia="仿宋" w:cs="Arial"/>
                <w:b/>
                <w:bCs/>
                <w:color w:val="000000" w:themeColor="text1"/>
                <w:kern w:val="0"/>
                <w:sz w:val="22"/>
                <w:szCs w:val="22"/>
                <w14:textFill>
                  <w14:solidFill>
                    <w14:schemeClr w14:val="tx1"/>
                  </w14:solidFill>
                </w14:textFill>
              </w:rPr>
            </w:pPr>
            <w:r>
              <w:rPr>
                <w:rFonts w:hint="eastAsia" w:ascii="仿宋" w:hAnsi="仿宋" w:eastAsia="仿宋" w:cs="Arial"/>
                <w:b/>
                <w:bCs/>
                <w:kern w:val="0"/>
                <w:sz w:val="22"/>
                <w:szCs w:val="22"/>
                <w:lang w:val="en-US" w:eastAsia="zh-CN"/>
              </w:rPr>
              <w:t>保证金金额（万元）</w:t>
            </w:r>
          </w:p>
        </w:tc>
      </w:tr>
      <w:tr w14:paraId="26B5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773" w:type="dxa"/>
            <w:vAlign w:val="center"/>
          </w:tcPr>
          <w:p w14:paraId="7A000985">
            <w:pPr>
              <w:widowControl/>
              <w:jc w:val="center"/>
              <w:rPr>
                <w:rFonts w:hint="eastAsia" w:ascii="仿宋" w:hAnsi="仿宋" w:eastAsia="仿宋" w:cs="Arial"/>
                <w:bCs/>
                <w:color w:val="000000" w:themeColor="text1"/>
                <w:kern w:val="0"/>
                <w:sz w:val="22"/>
                <w:szCs w:val="22"/>
                <w14:textFill>
                  <w14:solidFill>
                    <w14:schemeClr w14:val="tx1"/>
                  </w14:solidFill>
                </w14:textFill>
              </w:rPr>
            </w:pPr>
            <w:r>
              <w:rPr>
                <w:rFonts w:hint="eastAsia" w:ascii="仿宋" w:hAnsi="仿宋" w:eastAsia="仿宋" w:cs="Arial"/>
                <w:bCs/>
                <w:color w:val="000000" w:themeColor="text1"/>
                <w:kern w:val="0"/>
                <w:sz w:val="22"/>
                <w:szCs w:val="22"/>
                <w14:textFill>
                  <w14:solidFill>
                    <w14:schemeClr w14:val="tx1"/>
                  </w14:solidFill>
                </w14:textFill>
              </w:rPr>
              <w:t>充电机模块维修劳务采购项目</w:t>
            </w:r>
          </w:p>
        </w:tc>
        <w:tc>
          <w:tcPr>
            <w:tcW w:w="2442" w:type="dxa"/>
            <w:vAlign w:val="center"/>
          </w:tcPr>
          <w:p w14:paraId="17256C49">
            <w:pPr>
              <w:widowControl/>
              <w:jc w:val="center"/>
              <w:rPr>
                <w:rFonts w:hint="eastAsia" w:ascii="仿宋" w:hAnsi="仿宋" w:eastAsia="仿宋" w:cs="Arial"/>
                <w:bCs/>
                <w:color w:val="000000" w:themeColor="text1"/>
                <w:kern w:val="0"/>
                <w:sz w:val="22"/>
                <w:szCs w:val="22"/>
                <w14:textFill>
                  <w14:solidFill>
                    <w14:schemeClr w14:val="tx1"/>
                  </w14:solidFill>
                </w14:textFill>
              </w:rPr>
            </w:pPr>
            <w:r>
              <w:rPr>
                <w:rFonts w:hint="eastAsia" w:ascii="仿宋" w:hAnsi="仿宋" w:eastAsia="仿宋" w:cs="Arial"/>
                <w:bCs/>
                <w:color w:val="000000" w:themeColor="text1"/>
                <w:kern w:val="0"/>
                <w:sz w:val="22"/>
                <w:szCs w:val="22"/>
                <w14:textFill>
                  <w14:solidFill>
                    <w14:schemeClr w14:val="tx1"/>
                  </w14:solidFill>
                </w14:textFill>
              </w:rPr>
              <w:t>提供充电机模块的故障检测、维修调试、性能测试等劳务服务，确保故障充电模块恢复正常运行。</w:t>
            </w:r>
          </w:p>
        </w:tc>
        <w:tc>
          <w:tcPr>
            <w:tcW w:w="833" w:type="dxa"/>
            <w:vAlign w:val="center"/>
          </w:tcPr>
          <w:p w14:paraId="2D1C13D4">
            <w:pPr>
              <w:widowControl/>
              <w:jc w:val="center"/>
              <w:rPr>
                <w:rFonts w:hint="eastAsia" w:ascii="仿宋" w:hAnsi="仿宋" w:eastAsia="仿宋" w:cs="Arial"/>
                <w:bCs/>
                <w:color w:val="000000"/>
                <w:kern w:val="0"/>
                <w:sz w:val="22"/>
                <w:szCs w:val="22"/>
              </w:rPr>
            </w:pPr>
            <w:r>
              <w:rPr>
                <w:rFonts w:hint="eastAsia" w:ascii="仿宋" w:hAnsi="仿宋" w:eastAsia="仿宋" w:cs="Arial"/>
                <w:kern w:val="0"/>
                <w:sz w:val="22"/>
                <w:szCs w:val="22"/>
              </w:rPr>
              <w:t>1</w:t>
            </w:r>
          </w:p>
        </w:tc>
        <w:tc>
          <w:tcPr>
            <w:tcW w:w="831" w:type="dxa"/>
            <w:vAlign w:val="center"/>
          </w:tcPr>
          <w:p w14:paraId="374D4924">
            <w:pPr>
              <w:widowControl/>
              <w:adjustRightInd w:val="0"/>
              <w:snapToGrid w:val="0"/>
              <w:jc w:val="center"/>
              <w:rPr>
                <w:rFonts w:hint="eastAsia" w:ascii="仿宋" w:hAnsi="仿宋" w:eastAsia="仿宋" w:cs="Arial"/>
                <w:bCs/>
                <w:color w:val="000000"/>
                <w:kern w:val="0"/>
                <w:sz w:val="22"/>
                <w:szCs w:val="22"/>
              </w:rPr>
            </w:pPr>
            <w:r>
              <w:rPr>
                <w:rFonts w:hint="eastAsia" w:ascii="仿宋" w:hAnsi="仿宋" w:eastAsia="仿宋" w:cs="Arial"/>
                <w:bCs/>
                <w:color w:val="000000"/>
                <w:kern w:val="0"/>
                <w:sz w:val="22"/>
                <w:szCs w:val="22"/>
              </w:rPr>
              <w:t>宗</w:t>
            </w:r>
          </w:p>
        </w:tc>
        <w:tc>
          <w:tcPr>
            <w:tcW w:w="1433" w:type="dxa"/>
            <w:vAlign w:val="center"/>
          </w:tcPr>
          <w:p w14:paraId="40103B00">
            <w:pPr>
              <w:widowControl/>
              <w:adjustRightInd w:val="0"/>
              <w:snapToGrid w:val="0"/>
              <w:jc w:val="center"/>
              <w:rPr>
                <w:rFonts w:hint="eastAsia" w:ascii="仿宋" w:hAnsi="仿宋" w:eastAsia="仿宋" w:cs="Arial"/>
                <w:bCs/>
                <w:color w:val="000000"/>
                <w:kern w:val="0"/>
                <w:sz w:val="22"/>
                <w:szCs w:val="22"/>
              </w:rPr>
            </w:pPr>
            <w:r>
              <w:rPr>
                <w:rFonts w:hint="eastAsia" w:ascii="仿宋" w:hAnsi="仿宋" w:eastAsia="仿宋" w:cs="Arial"/>
                <w:bCs/>
                <w:color w:val="000000" w:themeColor="text1"/>
                <w:kern w:val="0"/>
                <w:sz w:val="22"/>
                <w:szCs w:val="22"/>
                <w14:textFill>
                  <w14:solidFill>
                    <w14:schemeClr w14:val="tx1"/>
                  </w14:solidFill>
                </w14:textFill>
              </w:rPr>
              <w:t xml:space="preserve">订单签订后30日 </w:t>
            </w:r>
          </w:p>
        </w:tc>
        <w:tc>
          <w:tcPr>
            <w:tcW w:w="959" w:type="dxa"/>
            <w:vAlign w:val="center"/>
          </w:tcPr>
          <w:p w14:paraId="1BB6252A">
            <w:pPr>
              <w:widowControl/>
              <w:adjustRightInd w:val="0"/>
              <w:snapToGrid w:val="0"/>
              <w:jc w:val="center"/>
              <w:rPr>
                <w:rFonts w:hint="eastAsia" w:ascii="仿宋" w:hAnsi="仿宋" w:eastAsia="仿宋" w:cs="Arial"/>
                <w:bCs/>
                <w:color w:val="000000" w:themeColor="text1"/>
                <w:kern w:val="0"/>
                <w:sz w:val="22"/>
                <w:szCs w:val="22"/>
                <w14:textFill>
                  <w14:solidFill>
                    <w14:schemeClr w14:val="tx1"/>
                  </w14:solidFill>
                </w14:textFill>
              </w:rPr>
            </w:pPr>
            <w:r>
              <w:rPr>
                <w:rFonts w:hint="eastAsia" w:ascii="仿宋" w:hAnsi="仿宋" w:eastAsia="仿宋" w:cs="Arial"/>
                <w:bCs/>
                <w:color w:val="000000" w:themeColor="text1"/>
                <w:kern w:val="0"/>
                <w:sz w:val="22"/>
                <w:szCs w:val="22"/>
                <w14:textFill>
                  <w14:solidFill>
                    <w14:schemeClr w14:val="tx1"/>
                  </w14:solidFill>
                </w14:textFill>
              </w:rPr>
              <w:t>/</w:t>
            </w:r>
          </w:p>
        </w:tc>
        <w:tc>
          <w:tcPr>
            <w:tcW w:w="1432" w:type="dxa"/>
            <w:vAlign w:val="center"/>
          </w:tcPr>
          <w:p w14:paraId="248A2562">
            <w:pPr>
              <w:widowControl/>
              <w:adjustRightInd w:val="0"/>
              <w:snapToGrid w:val="0"/>
              <w:jc w:val="center"/>
              <w:rPr>
                <w:rFonts w:hint="default" w:ascii="仿宋" w:hAnsi="仿宋" w:eastAsia="仿宋" w:cs="Arial"/>
                <w:bCs/>
                <w:color w:val="000000" w:themeColor="text1"/>
                <w:kern w:val="0"/>
                <w:sz w:val="22"/>
                <w:szCs w:val="22"/>
                <w:lang w:val="en-US" w:eastAsia="zh-CN"/>
                <w14:textFill>
                  <w14:solidFill>
                    <w14:schemeClr w14:val="tx1"/>
                  </w14:solidFill>
                </w14:textFill>
              </w:rPr>
            </w:pPr>
            <w:r>
              <w:rPr>
                <w:rFonts w:hint="eastAsia" w:ascii="仿宋" w:hAnsi="仿宋" w:eastAsia="仿宋" w:cs="Arial"/>
                <w:bCs/>
                <w:color w:val="000000" w:themeColor="text1"/>
                <w:kern w:val="0"/>
                <w:sz w:val="22"/>
                <w:szCs w:val="22"/>
                <w:lang w:val="en-US" w:eastAsia="zh-CN"/>
                <w14:textFill>
                  <w14:solidFill>
                    <w14:schemeClr w14:val="tx1"/>
                  </w14:solidFill>
                </w14:textFill>
              </w:rPr>
              <w:t>1.</w:t>
            </w:r>
            <w:r>
              <w:rPr>
                <w:rFonts w:hint="eastAsia" w:ascii="仿宋" w:hAnsi="仿宋" w:eastAsia="仿宋" w:cs="宋体"/>
                <w:color w:val="000000" w:themeColor="text1"/>
                <w:kern w:val="0"/>
                <w:sz w:val="22"/>
                <w:szCs w:val="22"/>
                <w14:textFill>
                  <w14:solidFill>
                    <w14:schemeClr w14:val="tx1"/>
                  </w14:solidFill>
                </w14:textFill>
              </w:rPr>
              <w:t>服务商</w:t>
            </w:r>
            <w:r>
              <w:rPr>
                <w:rFonts w:hint="eastAsia" w:ascii="仿宋" w:hAnsi="仿宋" w:eastAsia="仿宋" w:cs="宋体"/>
                <w:color w:val="000000" w:themeColor="text1"/>
                <w:kern w:val="0"/>
                <w:sz w:val="22"/>
                <w:szCs w:val="22"/>
                <w:lang w:val="en-US" w:eastAsia="zh-CN"/>
                <w14:textFill>
                  <w14:solidFill>
                    <w14:schemeClr w14:val="tx1"/>
                  </w14:solidFill>
                </w14:textFill>
              </w:rPr>
              <w:t>2.</w:t>
            </w:r>
            <w:r>
              <w:rPr>
                <w:rFonts w:hint="eastAsia" w:ascii="仿宋" w:hAnsi="仿宋" w:eastAsia="仿宋" w:cs="宋体"/>
                <w:color w:val="000000"/>
                <w:kern w:val="0"/>
                <w:sz w:val="22"/>
                <w:szCs w:val="22"/>
              </w:rPr>
              <w:t>具有</w:t>
            </w:r>
            <w:r>
              <w:rPr>
                <w:rFonts w:hint="eastAsia" w:ascii="仿宋" w:hAnsi="仿宋" w:eastAsia="仿宋" w:cs="宋体"/>
                <w:kern w:val="0"/>
                <w:sz w:val="22"/>
                <w:szCs w:val="22"/>
              </w:rPr>
              <w:t>不少于5人的实施人员团队，</w:t>
            </w:r>
            <w:r>
              <w:rPr>
                <w:rFonts w:hint="eastAsia" w:ascii="仿宋" w:hAnsi="仿宋" w:eastAsia="仿宋" w:cs="宋体"/>
                <w:color w:val="000000" w:themeColor="text1"/>
                <w:kern w:val="0"/>
                <w:sz w:val="22"/>
                <w:szCs w:val="22"/>
                <w14:textFill>
                  <w14:solidFill>
                    <w14:schemeClr w14:val="tx1"/>
                  </w14:solidFill>
                </w14:textFill>
              </w:rPr>
              <w:t>提供劳动合同及自投标文件递交截止日前近三个月在本单位的社保缴纳证明。</w:t>
            </w:r>
          </w:p>
        </w:tc>
        <w:tc>
          <w:tcPr>
            <w:tcW w:w="2700" w:type="dxa"/>
            <w:vAlign w:val="center"/>
          </w:tcPr>
          <w:p w14:paraId="1F636FE3">
            <w:pPr>
              <w:widowControl/>
              <w:adjustRightInd w:val="0"/>
              <w:snapToGrid w:val="0"/>
              <w:jc w:val="center"/>
              <w:rPr>
                <w:rFonts w:hint="eastAsia" w:ascii="仿宋" w:hAnsi="仿宋" w:eastAsia="仿宋" w:cs="Arial"/>
                <w:bCs/>
                <w:color w:val="000000" w:themeColor="text1"/>
                <w:kern w:val="0"/>
                <w:sz w:val="22"/>
                <w:szCs w:val="22"/>
                <w14:textFill>
                  <w14:solidFill>
                    <w14:schemeClr w14:val="tx1"/>
                  </w14:solidFill>
                </w14:textFill>
              </w:rPr>
            </w:pPr>
            <w:r>
              <w:rPr>
                <w:rFonts w:hint="eastAsia" w:ascii="仿宋" w:hAnsi="仿宋" w:eastAsia="仿宋" w:cs="宋体"/>
                <w:color w:val="000000" w:themeColor="text1"/>
                <w:kern w:val="0"/>
                <w:sz w:val="22"/>
                <w:szCs w:val="22"/>
                <w14:textFill>
                  <w14:solidFill>
                    <w14:schemeClr w14:val="tx1"/>
                  </w14:solidFill>
                </w14:textFill>
              </w:rPr>
              <w:t>2023年1月1日至招标（采购）公告发布之日内，完成过充电设备、电气设备等维修、维护类服务项目或</w:t>
            </w:r>
            <w:r>
              <w:rPr>
                <w:rFonts w:hint="eastAsia" w:ascii="仿宋" w:hAnsi="仿宋" w:eastAsia="仿宋" w:cs="仿宋"/>
                <w:color w:val="000000" w:themeColor="text1"/>
                <w:kern w:val="0"/>
                <w:sz w:val="22"/>
                <w:szCs w:val="22"/>
                <w14:textFill>
                  <w14:solidFill>
                    <w14:schemeClr w14:val="tx1"/>
                  </w14:solidFill>
                </w14:textFill>
              </w:rPr>
              <w:t>劳务项目，</w:t>
            </w:r>
            <w:r>
              <w:rPr>
                <w:rFonts w:hint="eastAsia" w:ascii="仿宋" w:hAnsi="仿宋" w:eastAsia="仿宋" w:cs="宋体"/>
                <w:color w:val="000000" w:themeColor="text1"/>
                <w:kern w:val="0"/>
                <w:sz w:val="22"/>
                <w:szCs w:val="22"/>
                <w14:textFill>
                  <w14:solidFill>
                    <w14:schemeClr w14:val="tx1"/>
                  </w14:solidFill>
                </w14:textFill>
              </w:rPr>
              <w:t>且累计销售业绩不少于3份。（时间以合同签订日期为准，须提供用户合同封面、金额页、合同签字盖章页复印件、证明合同内容的合同页、发票复印件、发票查验结果截图）。</w:t>
            </w:r>
          </w:p>
        </w:tc>
        <w:tc>
          <w:tcPr>
            <w:tcW w:w="1463" w:type="dxa"/>
            <w:vAlign w:val="center"/>
          </w:tcPr>
          <w:p w14:paraId="369ED35C">
            <w:pPr>
              <w:widowControl/>
              <w:adjustRightInd w:val="0"/>
              <w:snapToGrid w:val="0"/>
              <w:jc w:val="center"/>
              <w:rPr>
                <w:rFonts w:hint="default" w:ascii="仿宋" w:hAnsi="仿宋" w:eastAsia="仿宋" w:cs="Arial"/>
                <w:bCs/>
                <w:color w:val="000000" w:themeColor="text1"/>
                <w:kern w:val="0"/>
                <w:sz w:val="22"/>
                <w:szCs w:val="22"/>
                <w:lang w:val="en-US" w:eastAsia="zh-CN"/>
                <w14:textFill>
                  <w14:solidFill>
                    <w14:schemeClr w14:val="tx1"/>
                  </w14:solidFill>
                </w14:textFill>
              </w:rPr>
            </w:pPr>
            <w:r>
              <w:rPr>
                <w:rFonts w:hint="eastAsia" w:ascii="仿宋" w:hAnsi="仿宋" w:eastAsia="仿宋" w:cs="Arial"/>
                <w:bCs/>
                <w:color w:val="000000" w:themeColor="text1"/>
                <w:kern w:val="0"/>
                <w:sz w:val="22"/>
                <w:szCs w:val="22"/>
                <w:lang w:val="en-US" w:eastAsia="zh-CN"/>
                <w14:textFill>
                  <w14:solidFill>
                    <w14:schemeClr w14:val="tx1"/>
                  </w14:solidFill>
                </w14:textFill>
              </w:rPr>
              <w:t>0.7</w:t>
            </w:r>
          </w:p>
        </w:tc>
      </w:tr>
    </w:tbl>
    <w:p w14:paraId="03D93560">
      <w:pPr>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具体服务不局限于上述需求一览表。应包括上述服务相关延伸服务及产品，类似升级服务及相关产品。</w:t>
      </w:r>
    </w:p>
    <w:p w14:paraId="741046DA">
      <w:pPr>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color w:val="000000" w:themeColor="text1"/>
          <w:sz w:val="22"/>
          <w:szCs w:val="22"/>
          <w14:textFill>
            <w14:solidFill>
              <w14:schemeClr w14:val="tx1"/>
            </w14:solidFill>
          </w14:textFill>
        </w:rPr>
        <w:t>备注：</w:t>
      </w:r>
    </w:p>
    <w:p w14:paraId="3DE8E545">
      <w:pPr>
        <w:rPr>
          <w:rFonts w:hint="eastAsia" w:ascii="仿宋" w:hAnsi="仿宋" w:eastAsia="仿宋"/>
          <w:color w:val="000000"/>
          <w:sz w:val="22"/>
          <w:szCs w:val="22"/>
        </w:rPr>
      </w:pPr>
      <w:r>
        <w:rPr>
          <w:rFonts w:hint="eastAsia" w:ascii="仿宋" w:hAnsi="仿宋" w:eastAsia="仿宋"/>
          <w:color w:val="000000"/>
          <w:sz w:val="22"/>
          <w:szCs w:val="22"/>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03387923">
      <w:pPr>
        <w:rPr>
          <w:rFonts w:hint="eastAsia" w:ascii="仿宋" w:hAnsi="仿宋" w:eastAsia="仿宋"/>
          <w:color w:val="000000"/>
          <w:sz w:val="22"/>
          <w:szCs w:val="22"/>
        </w:rPr>
      </w:pPr>
      <w:r>
        <w:rPr>
          <w:rFonts w:hint="eastAsia" w:ascii="仿宋" w:hAnsi="仿宋" w:eastAsia="仿宋"/>
          <w:color w:val="000000"/>
          <w:sz w:val="22"/>
          <w:szCs w:val="22"/>
        </w:rPr>
        <w:t>②.投标文件中提供的证明材料复印件应复印清晰、可辨认且不得遮盖、涂抹，否则视为无效。</w:t>
      </w:r>
    </w:p>
    <w:p w14:paraId="7109B787">
      <w:pPr>
        <w:rPr>
          <w:rFonts w:hint="eastAsia" w:ascii="仿宋" w:hAnsi="仿宋" w:eastAsia="仿宋"/>
          <w:sz w:val="22"/>
          <w:szCs w:val="22"/>
        </w:rPr>
      </w:pPr>
      <w:r>
        <w:rPr>
          <w:rFonts w:hint="eastAsia" w:ascii="仿宋" w:hAnsi="仿宋" w:eastAsia="仿宋"/>
          <w:color w:val="000000"/>
          <w:sz w:val="22"/>
          <w:szCs w:val="22"/>
        </w:rPr>
        <w:t>③</w:t>
      </w:r>
      <w:r>
        <w:rPr>
          <w:rFonts w:ascii="仿宋" w:hAnsi="仿宋" w:eastAsia="仿宋"/>
          <w:color w:val="000000"/>
          <w:sz w:val="22"/>
          <w:szCs w:val="22"/>
        </w:rPr>
        <w:t>.</w:t>
      </w:r>
      <w:r>
        <w:rPr>
          <w:rFonts w:hint="eastAsia" w:ascii="仿宋" w:hAnsi="仿宋" w:eastAsia="仿宋"/>
          <w:sz w:val="22"/>
          <w:szCs w:val="22"/>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rPr>
        <w:t>业绩认定时间</w:t>
      </w:r>
      <w:r>
        <w:rPr>
          <w:rFonts w:hint="eastAsia" w:ascii="仿宋" w:hAnsi="仿宋" w:eastAsia="仿宋"/>
          <w:color w:val="FF0000"/>
          <w:sz w:val="22"/>
          <w:szCs w:val="22"/>
        </w:rPr>
        <w:t>以合同签订时间为准</w:t>
      </w:r>
      <w:r>
        <w:rPr>
          <w:rFonts w:hint="eastAsia" w:ascii="仿宋" w:hAnsi="仿宋" w:eastAsia="仿宋"/>
          <w:sz w:val="22"/>
          <w:szCs w:val="22"/>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rPr>
        <w:t>业绩认定金额或份数以合同和对应发票二者中的最少数额为准。</w:t>
      </w:r>
    </w:p>
    <w:p w14:paraId="4BC75FC0">
      <w:pPr>
        <w:rPr>
          <w:rFonts w:hint="eastAsia" w:ascii="仿宋" w:hAnsi="仿宋" w:eastAsia="仿宋"/>
          <w:color w:val="000000" w:themeColor="text1"/>
          <w:sz w:val="22"/>
          <w:szCs w:val="22"/>
          <w14:textFill>
            <w14:solidFill>
              <w14:schemeClr w14:val="tx1"/>
            </w14:solidFill>
          </w14:textFill>
        </w:rPr>
      </w:pPr>
      <w:r>
        <w:rPr>
          <w:rFonts w:hint="eastAsia" w:ascii="仿宋" w:hAnsi="仿宋" w:eastAsia="仿宋"/>
          <w:sz w:val="22"/>
          <w:szCs w:val="22"/>
        </w:rPr>
        <w:t>④</w:t>
      </w:r>
      <w:r>
        <w:rPr>
          <w:rFonts w:ascii="仿宋" w:hAnsi="仿宋" w:eastAsia="仿宋"/>
          <w:sz w:val="22"/>
          <w:szCs w:val="22"/>
        </w:rPr>
        <w:t>.</w:t>
      </w:r>
      <w:r>
        <w:rPr>
          <w:rFonts w:hint="eastAsia" w:ascii="仿宋" w:hAnsi="仿宋" w:eastAsia="仿宋"/>
          <w:sz w:val="22"/>
          <w:szCs w:val="22"/>
        </w:rPr>
        <w:t>业绩发票影印件后须附通过</w:t>
      </w:r>
      <w:r>
        <w:rPr>
          <w:rFonts w:hint="eastAsia" w:ascii="仿宋" w:hAnsi="仿宋" w:eastAsia="仿宋"/>
          <w:b/>
          <w:bCs/>
          <w:sz w:val="22"/>
          <w:szCs w:val="22"/>
        </w:rPr>
        <w:t>国家税务总局全国增值税发票查验平台</w:t>
      </w:r>
      <w:r>
        <w:rPr>
          <w:rFonts w:hint="eastAsia" w:ascii="仿宋" w:hAnsi="仿宋" w:eastAsia="仿宋"/>
          <w:sz w:val="22"/>
          <w:szCs w:val="22"/>
        </w:rPr>
        <w:t>（网址：https://inv-veri.chinatax.gov.cn/）查验的发票结果截图，“一发票一截图”，发票开票日期</w:t>
      </w:r>
      <w:r>
        <w:rPr>
          <w:rFonts w:hint="eastAsia" w:ascii="仿宋" w:hAnsi="仿宋" w:eastAsia="仿宋"/>
          <w:color w:val="FF0000"/>
          <w:sz w:val="22"/>
          <w:szCs w:val="22"/>
        </w:rPr>
        <w:t>不得晚于</w:t>
      </w:r>
      <w:r>
        <w:rPr>
          <w:rFonts w:hint="eastAsia" w:ascii="仿宋" w:hAnsi="仿宋" w:eastAsia="仿宋"/>
          <w:sz w:val="22"/>
          <w:szCs w:val="22"/>
        </w:rPr>
        <w:t>采购公告发布时间。未提供发票或未提供对应发票查验结果截图的或发票开标日期</w:t>
      </w:r>
      <w:r>
        <w:rPr>
          <w:rFonts w:hint="eastAsia" w:ascii="仿宋" w:hAnsi="仿宋" w:eastAsia="仿宋"/>
          <w:color w:val="000000" w:themeColor="text1"/>
          <w:sz w:val="22"/>
          <w:szCs w:val="22"/>
          <w14:textFill>
            <w14:solidFill>
              <w14:schemeClr w14:val="tx1"/>
            </w14:solidFill>
          </w14:textFill>
        </w:rPr>
        <w:t>晚于</w:t>
      </w:r>
      <w:r>
        <w:rPr>
          <w:rFonts w:hint="eastAsia" w:ascii="仿宋" w:hAnsi="仿宋" w:eastAsia="仿宋"/>
          <w:sz w:val="22"/>
          <w:szCs w:val="22"/>
        </w:rPr>
        <w:t>采购公告发布时间的业绩不予认可。所有业绩支撑证明材料内容须保证清晰、可辨认且不得遮盖、涂抹。</w:t>
      </w:r>
    </w:p>
    <w:p w14:paraId="07276D1E">
      <w:pPr>
        <w:rPr>
          <w:rFonts w:hint="eastAsia" w:ascii="仿宋" w:hAnsi="仿宋" w:eastAsia="仿宋"/>
          <w:color w:val="000000" w:themeColor="text1"/>
          <w:sz w:val="22"/>
          <w:szCs w:val="22"/>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B9AC">
    <w:pPr>
      <w:pStyle w:val="4"/>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97AA6E">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97AA6E">
                    <w:pPr>
                      <w:pStyle w:val="4"/>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8AAF37B">
                          <w:pPr>
                            <w:pStyle w:val="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58AAF37B">
                    <w:pPr>
                      <w:pStyle w:val="4"/>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50E76DC"/>
    <w:rsid w:val="06C74530"/>
    <w:rsid w:val="08E41D65"/>
    <w:rsid w:val="0E62641C"/>
    <w:rsid w:val="144B398A"/>
    <w:rsid w:val="19EA7F0D"/>
    <w:rsid w:val="216E6218"/>
    <w:rsid w:val="21BC068A"/>
    <w:rsid w:val="221A58D9"/>
    <w:rsid w:val="28982781"/>
    <w:rsid w:val="2A5C1303"/>
    <w:rsid w:val="2D1D5DBB"/>
    <w:rsid w:val="3A4B5344"/>
    <w:rsid w:val="3C3025F0"/>
    <w:rsid w:val="3FC925C9"/>
    <w:rsid w:val="42706353"/>
    <w:rsid w:val="44C02BF0"/>
    <w:rsid w:val="4B4B2FA2"/>
    <w:rsid w:val="4D981108"/>
    <w:rsid w:val="5C863DFA"/>
    <w:rsid w:val="60D02126"/>
    <w:rsid w:val="616B7AA3"/>
    <w:rsid w:val="727A7B45"/>
    <w:rsid w:val="7A432F13"/>
    <w:rsid w:val="7A7F0F4D"/>
    <w:rsid w:val="7B0A6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pPr>
    <w:rPr>
      <w:sz w:val="2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List"/>
    <w:basedOn w:val="1"/>
    <w:qFormat/>
    <w:uiPriority w:val="0"/>
    <w:pPr>
      <w:ind w:left="200" w:hanging="200" w:hangingChars="200"/>
      <w:contextualSpacing/>
    </w:pPr>
  </w:style>
  <w:style w:type="paragraph" w:styleId="6">
    <w:name w:val="Body Text First Indent 2"/>
    <w:basedOn w:val="3"/>
    <w:next w:val="7"/>
    <w:qFormat/>
    <w:uiPriority w:val="0"/>
    <w:pPr>
      <w:ind w:firstLine="420"/>
    </w:pPr>
  </w:style>
  <w:style w:type="paragraph" w:customStyle="1" w:styleId="7">
    <w:name w:val="表格文字"/>
    <w:basedOn w:val="5"/>
    <w:next w:val="1"/>
    <w:qFormat/>
    <w:uiPriority w:val="0"/>
    <w:pPr>
      <w:ind w:firstLine="0" w:firstLineChars="0"/>
      <w:jc w:val="center"/>
    </w:pPr>
    <w:rPr>
      <w:szCs w:val="20"/>
    </w:rPr>
  </w:style>
  <w:style w:type="character" w:styleId="10">
    <w:name w:val="Hyperlink"/>
    <w:qFormat/>
    <w:uiPriority w:val="99"/>
    <w:rPr>
      <w:color w:val="0000FF"/>
      <w:u w:val="single"/>
    </w:rPr>
  </w:style>
  <w:style w:type="paragraph" w:customStyle="1" w:styleId="11">
    <w:name w:val="正文文本2"/>
    <w:basedOn w:val="1"/>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5935</Words>
  <Characters>6587</Characters>
  <Lines>0</Lines>
  <Paragraphs>0</Paragraphs>
  <TotalTime>0</TotalTime>
  <ScaleCrop>false</ScaleCrop>
  <LinksUpToDate>false</LinksUpToDate>
  <CharactersWithSpaces>6603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2026-04-13T10:58:12Z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2CF7307234CD4474A459B6947D6D5DD7_12</vt:lpwstr>
  </property>
  <property fmtid="{D5CDD505-2E9C-101B-9397-08002B2CF9AE}" pid="4" name="KSOTemplateDocerSaveRecord">
    <vt:lpwstr>eyJoZGlkIjoiOTM1NjU5NTU1OTBhZTRiN2E3MWZhYWU2MjFkNTEwNzkiLCJ1c2VySWQiOiI3MzAwNjQ3NTMifQ==</vt:lpwstr>
  </property>
</Properties>
</file>