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40B20">
      <w:pPr>
        <w:pStyle w:val="5"/>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0"/>
        <w:tblW w:w="13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239"/>
        <w:gridCol w:w="3089"/>
        <w:gridCol w:w="698"/>
        <w:gridCol w:w="680"/>
        <w:gridCol w:w="915"/>
        <w:gridCol w:w="864"/>
        <w:gridCol w:w="694"/>
        <w:gridCol w:w="1956"/>
        <w:gridCol w:w="1698"/>
      </w:tblGrid>
      <w:tr w14:paraId="586F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219" w:type="dxa"/>
            <w:vAlign w:val="center"/>
          </w:tcPr>
          <w:p w14:paraId="397E29D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39" w:type="dxa"/>
            <w:shd w:val="clear" w:color="auto" w:fill="auto"/>
            <w:vAlign w:val="center"/>
          </w:tcPr>
          <w:p w14:paraId="3DF91DF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3089" w:type="dxa"/>
            <w:shd w:val="clear" w:color="auto" w:fill="auto"/>
            <w:vAlign w:val="center"/>
          </w:tcPr>
          <w:p w14:paraId="10AC862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698" w:type="dxa"/>
            <w:shd w:val="clear" w:color="auto" w:fill="auto"/>
            <w:vAlign w:val="center"/>
          </w:tcPr>
          <w:p w14:paraId="11EEED2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680" w:type="dxa"/>
            <w:shd w:val="clear" w:color="auto" w:fill="auto"/>
            <w:vAlign w:val="center"/>
          </w:tcPr>
          <w:p w14:paraId="066A639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915" w:type="dxa"/>
            <w:shd w:val="clear" w:color="auto" w:fill="FF0000"/>
            <w:vAlign w:val="center"/>
          </w:tcPr>
          <w:p w14:paraId="47AF47F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64" w:type="dxa"/>
            <w:vAlign w:val="center"/>
          </w:tcPr>
          <w:p w14:paraId="15E9371B">
            <w:pPr>
              <w:widowControl/>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694" w:type="dxa"/>
            <w:shd w:val="clear" w:color="auto" w:fill="auto"/>
            <w:vAlign w:val="center"/>
          </w:tcPr>
          <w:p w14:paraId="75DDF2A1">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956" w:type="dxa"/>
            <w:shd w:val="clear" w:color="auto" w:fill="auto"/>
            <w:vAlign w:val="center"/>
          </w:tcPr>
          <w:p w14:paraId="275E6D5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w:t>
            </w:r>
            <w:r>
              <w:rPr>
                <w:rFonts w:hint="eastAsia" w:ascii="宋体" w:hAnsi="宋体" w:eastAsia="宋体" w:cs="宋体"/>
                <w:b/>
                <w:bCs/>
                <w:color w:val="auto"/>
                <w:kern w:val="0"/>
                <w:sz w:val="24"/>
                <w:szCs w:val="24"/>
                <w:highlight w:val="none"/>
              </w:rPr>
              <w:t>业绩要求</w:t>
            </w:r>
          </w:p>
        </w:tc>
        <w:tc>
          <w:tcPr>
            <w:tcW w:w="1698" w:type="dxa"/>
            <w:shd w:val="clear" w:color="auto" w:fill="auto"/>
            <w:vAlign w:val="center"/>
          </w:tcPr>
          <w:p w14:paraId="6229C2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w:t>
            </w:r>
            <w:r>
              <w:rPr>
                <w:rFonts w:hint="eastAsia" w:ascii="宋体" w:hAnsi="宋体" w:eastAsia="宋体" w:cs="宋体"/>
                <w:b/>
                <w:bCs/>
                <w:color w:val="auto"/>
                <w:kern w:val="0"/>
                <w:sz w:val="24"/>
                <w:szCs w:val="24"/>
                <w:highlight w:val="none"/>
              </w:rPr>
              <w:t>要求</w:t>
            </w:r>
          </w:p>
        </w:tc>
      </w:tr>
      <w:tr w14:paraId="06B0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9" w:type="dxa"/>
            <w:vMerge w:val="restart"/>
            <w:vAlign w:val="center"/>
          </w:tcPr>
          <w:p w14:paraId="16027315">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val="en-US" w:eastAsia="zh-CN"/>
              </w:rPr>
              <w:t>长续航无人机等组件采购项目</w:t>
            </w:r>
          </w:p>
        </w:tc>
        <w:tc>
          <w:tcPr>
            <w:tcW w:w="1239" w:type="dxa"/>
            <w:shd w:val="clear" w:color="auto" w:fill="auto"/>
            <w:vAlign w:val="center"/>
          </w:tcPr>
          <w:p w14:paraId="35E1948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长续航无人机</w:t>
            </w:r>
          </w:p>
        </w:tc>
        <w:tc>
          <w:tcPr>
            <w:tcW w:w="3089" w:type="dxa"/>
            <w:shd w:val="clear" w:color="auto" w:fill="auto"/>
            <w:vAlign w:val="center"/>
          </w:tcPr>
          <w:p w14:paraId="2D6A4D33">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最大起飞重量≥15kg；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对角线轴距≤1100mm；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 59min；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电池容量≥ 20000mAh；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照明灯组有效照明面积≥ 12000m</w:t>
            </w:r>
            <w:r>
              <w:rPr>
                <w:rStyle w:val="16"/>
                <w:rFonts w:hint="eastAsia" w:ascii="宋体" w:hAnsi="宋体" w:eastAsia="宋体" w:cs="宋体"/>
                <w:color w:val="auto"/>
                <w:sz w:val="24"/>
                <w:szCs w:val="24"/>
                <w:highlight w:val="none"/>
                <w:lang w:val="en-US" w:eastAsia="zh-CN" w:bidi="ar"/>
              </w:rPr>
              <w:t>2</w:t>
            </w:r>
            <w:r>
              <w:rPr>
                <w:rStyle w:val="17"/>
                <w:rFonts w:hint="eastAsia" w:ascii="宋体" w:hAnsi="宋体" w:eastAsia="宋体" w:cs="宋体"/>
                <w:color w:val="auto"/>
                <w:sz w:val="24"/>
                <w:szCs w:val="24"/>
                <w:highlight w:val="none"/>
                <w:lang w:val="en-US" w:eastAsia="zh-CN" w:bidi="ar"/>
              </w:rPr>
              <w:t>；</w:t>
            </w:r>
            <w:r>
              <w:rPr>
                <w:rStyle w:val="16"/>
                <w:rFonts w:hint="eastAsia" w:ascii="宋体" w:hAnsi="宋体" w:eastAsia="宋体" w:cs="宋体"/>
                <w:color w:val="auto"/>
                <w:sz w:val="24"/>
                <w:szCs w:val="24"/>
                <w:highlight w:val="none"/>
                <w:lang w:val="en-US" w:eastAsia="zh-CN" w:bidi="ar"/>
              </w:rPr>
              <w:br w:type="textWrapping"/>
            </w:r>
            <w:r>
              <w:rPr>
                <w:rStyle w:val="17"/>
                <w:rFonts w:hint="eastAsia" w:ascii="宋体" w:hAnsi="宋体" w:eastAsia="宋体" w:cs="宋体"/>
                <w:color w:val="auto"/>
                <w:sz w:val="24"/>
                <w:szCs w:val="24"/>
                <w:highlight w:val="none"/>
                <w:lang w:val="en-US" w:eastAsia="zh-CN" w:bidi="ar"/>
              </w:rPr>
              <w:t>激光测距≥ 500m。</w:t>
            </w:r>
          </w:p>
        </w:tc>
        <w:tc>
          <w:tcPr>
            <w:tcW w:w="698" w:type="dxa"/>
            <w:shd w:val="clear" w:color="000000" w:fill="FFFFFF"/>
            <w:vAlign w:val="center"/>
          </w:tcPr>
          <w:p w14:paraId="56CD5397">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23F9ED8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915" w:type="dxa"/>
            <w:vMerge w:val="restart"/>
            <w:shd w:val="clear" w:color="auto" w:fill="FF0000"/>
            <w:vAlign w:val="center"/>
          </w:tcPr>
          <w:p w14:paraId="3D0039D5">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864" w:type="dxa"/>
            <w:vMerge w:val="restart"/>
            <w:vAlign w:val="center"/>
          </w:tcPr>
          <w:p w14:paraId="0F15C69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个月</w:t>
            </w:r>
          </w:p>
        </w:tc>
        <w:tc>
          <w:tcPr>
            <w:tcW w:w="694" w:type="dxa"/>
            <w:vMerge w:val="restart"/>
            <w:shd w:val="clear" w:color="auto" w:fill="auto"/>
            <w:vAlign w:val="center"/>
          </w:tcPr>
          <w:p w14:paraId="0878A24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tc>
        <w:tc>
          <w:tcPr>
            <w:tcW w:w="1956" w:type="dxa"/>
            <w:vMerge w:val="restart"/>
            <w:shd w:val="clear" w:color="auto" w:fill="auto"/>
            <w:vAlign w:val="center"/>
          </w:tcPr>
          <w:p w14:paraId="68BC1FC0">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2023年1月1日至2025年12月31日，完成过</w:t>
            </w:r>
            <w:r>
              <w:rPr>
                <w:rFonts w:hint="eastAsia" w:ascii="宋体" w:hAnsi="宋体" w:eastAsia="宋体" w:cs="宋体"/>
                <w:color w:val="auto"/>
                <w:kern w:val="0"/>
                <w:sz w:val="24"/>
                <w:szCs w:val="24"/>
                <w:highlight w:val="none"/>
                <w:lang w:val="en-US" w:eastAsia="zh-CN"/>
              </w:rPr>
              <w:t>自动机场或无人机</w:t>
            </w:r>
            <w:r>
              <w:rPr>
                <w:rFonts w:hint="eastAsia" w:ascii="宋体" w:hAnsi="宋体" w:eastAsia="宋体" w:cs="宋体"/>
                <w:color w:val="auto"/>
                <w:kern w:val="0"/>
                <w:sz w:val="24"/>
                <w:szCs w:val="24"/>
                <w:highlight w:val="none"/>
              </w:rPr>
              <w:t>等销售业绩不少于1份，累计金额不低于</w:t>
            </w:r>
            <w:r>
              <w:rPr>
                <w:rFonts w:hint="eastAsia" w:ascii="宋体" w:hAnsi="宋体" w:eastAsia="宋体" w:cs="宋体"/>
                <w:color w:val="auto"/>
                <w:kern w:val="0"/>
                <w:sz w:val="24"/>
                <w:szCs w:val="24"/>
                <w:highlight w:val="none"/>
                <w:lang w:val="en-US" w:eastAsia="zh-CN"/>
              </w:rPr>
              <w:t>50</w:t>
            </w:r>
            <w:r>
              <w:rPr>
                <w:rFonts w:hint="eastAsia" w:ascii="宋体" w:hAnsi="宋体" w:eastAsia="宋体" w:cs="宋体"/>
                <w:color w:val="auto"/>
                <w:kern w:val="0"/>
                <w:sz w:val="24"/>
                <w:szCs w:val="24"/>
                <w:highlight w:val="none"/>
              </w:rPr>
              <w:t>万元。注:业绩必须提供对应的合同复印件、发票和相应查验截图。</w:t>
            </w:r>
          </w:p>
        </w:tc>
        <w:tc>
          <w:tcPr>
            <w:tcW w:w="1698" w:type="dxa"/>
            <w:vMerge w:val="restart"/>
            <w:shd w:val="clear" w:color="auto" w:fill="auto"/>
            <w:vAlign w:val="center"/>
          </w:tcPr>
          <w:p w14:paraId="29D4061D">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14:paraId="48279E35">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具备《民用无人驾驶航空器运营合格证》。</w:t>
            </w:r>
          </w:p>
          <w:p w14:paraId="759E2979">
            <w:pPr>
              <w:widowControl/>
              <w:snapToGri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2.提供国家认可的第三方检测机构出具的有效的检测报告。</w:t>
            </w:r>
          </w:p>
        </w:tc>
      </w:tr>
      <w:tr w14:paraId="5285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1219" w:type="dxa"/>
            <w:vMerge w:val="continue"/>
            <w:vAlign w:val="center"/>
          </w:tcPr>
          <w:p w14:paraId="342D9970">
            <w:pPr>
              <w:widowControl/>
              <w:jc w:val="center"/>
              <w:rPr>
                <w:rFonts w:hint="eastAsia" w:ascii="宋体" w:hAnsi="宋体" w:eastAsia="宋体" w:cs="宋体"/>
                <w:color w:val="auto"/>
                <w:kern w:val="0"/>
                <w:sz w:val="24"/>
                <w:szCs w:val="24"/>
                <w:highlight w:val="none"/>
                <w:lang w:eastAsia="zh-CN"/>
              </w:rPr>
            </w:pPr>
          </w:p>
        </w:tc>
        <w:tc>
          <w:tcPr>
            <w:tcW w:w="1239" w:type="dxa"/>
            <w:shd w:val="clear" w:color="auto" w:fill="auto"/>
            <w:vAlign w:val="center"/>
          </w:tcPr>
          <w:p w14:paraId="1ADF371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自动机场1</w:t>
            </w:r>
          </w:p>
        </w:tc>
        <w:tc>
          <w:tcPr>
            <w:tcW w:w="3089" w:type="dxa"/>
            <w:shd w:val="clear" w:color="auto" w:fill="auto"/>
            <w:vAlign w:val="center"/>
          </w:tcPr>
          <w:p w14:paraId="28811AA2">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整机重量≤ 55kg；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无人机起飞重量≤ 1850g；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对角线轴距≤ 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最长飞行时间≥ 54min；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红外传感器分辨率≥640×512，超分模式≥1280×1024。</w:t>
            </w:r>
          </w:p>
        </w:tc>
        <w:tc>
          <w:tcPr>
            <w:tcW w:w="698" w:type="dxa"/>
            <w:shd w:val="clear" w:color="000000" w:fill="FFFFFF"/>
            <w:vAlign w:val="center"/>
          </w:tcPr>
          <w:p w14:paraId="537F98BA">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06549C10">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915" w:type="dxa"/>
            <w:vMerge w:val="continue"/>
            <w:shd w:val="clear" w:color="auto" w:fill="FF0000"/>
            <w:vAlign w:val="center"/>
          </w:tcPr>
          <w:p w14:paraId="045637FD">
            <w:pPr>
              <w:widowControl/>
              <w:jc w:val="center"/>
              <w:rPr>
                <w:rFonts w:hint="eastAsia" w:ascii="宋体" w:hAnsi="宋体" w:eastAsia="宋体" w:cs="宋体"/>
                <w:color w:val="auto"/>
                <w:kern w:val="0"/>
                <w:sz w:val="24"/>
                <w:szCs w:val="24"/>
                <w:highlight w:val="none"/>
              </w:rPr>
            </w:pPr>
          </w:p>
        </w:tc>
        <w:tc>
          <w:tcPr>
            <w:tcW w:w="864" w:type="dxa"/>
            <w:vMerge w:val="continue"/>
            <w:vAlign w:val="center"/>
          </w:tcPr>
          <w:p w14:paraId="27ACFEA4">
            <w:pPr>
              <w:jc w:val="center"/>
              <w:rPr>
                <w:rFonts w:hint="eastAsia" w:ascii="宋体" w:hAnsi="宋体" w:eastAsia="宋体" w:cs="宋体"/>
                <w:color w:val="auto"/>
                <w:kern w:val="0"/>
                <w:sz w:val="24"/>
                <w:szCs w:val="24"/>
                <w:highlight w:val="none"/>
              </w:rPr>
            </w:pPr>
          </w:p>
        </w:tc>
        <w:tc>
          <w:tcPr>
            <w:tcW w:w="694" w:type="dxa"/>
            <w:vMerge w:val="continue"/>
            <w:shd w:val="clear" w:color="auto" w:fill="auto"/>
            <w:vAlign w:val="center"/>
          </w:tcPr>
          <w:p w14:paraId="171AE85A">
            <w:pPr>
              <w:jc w:val="center"/>
              <w:rPr>
                <w:rFonts w:hint="eastAsia" w:ascii="宋体" w:hAnsi="宋体" w:eastAsia="宋体" w:cs="宋体"/>
                <w:color w:val="auto"/>
                <w:kern w:val="0"/>
                <w:sz w:val="24"/>
                <w:szCs w:val="24"/>
                <w:highlight w:val="none"/>
              </w:rPr>
            </w:pPr>
          </w:p>
        </w:tc>
        <w:tc>
          <w:tcPr>
            <w:tcW w:w="1956" w:type="dxa"/>
            <w:vMerge w:val="continue"/>
            <w:shd w:val="clear" w:color="auto" w:fill="auto"/>
            <w:vAlign w:val="center"/>
          </w:tcPr>
          <w:p w14:paraId="410ED511">
            <w:pPr>
              <w:jc w:val="center"/>
              <w:rPr>
                <w:rFonts w:hint="eastAsia" w:ascii="宋体" w:hAnsi="宋体" w:eastAsia="宋体" w:cs="宋体"/>
                <w:color w:val="auto"/>
                <w:kern w:val="0"/>
                <w:sz w:val="24"/>
                <w:szCs w:val="24"/>
                <w:highlight w:val="none"/>
              </w:rPr>
            </w:pPr>
          </w:p>
        </w:tc>
        <w:tc>
          <w:tcPr>
            <w:tcW w:w="1698" w:type="dxa"/>
            <w:vMerge w:val="continue"/>
            <w:shd w:val="clear" w:color="auto" w:fill="auto"/>
            <w:vAlign w:val="center"/>
          </w:tcPr>
          <w:p w14:paraId="437E5AB6">
            <w:pPr>
              <w:jc w:val="center"/>
              <w:rPr>
                <w:rFonts w:hint="eastAsia" w:ascii="宋体" w:hAnsi="宋体" w:eastAsia="宋体" w:cs="宋体"/>
                <w:color w:val="auto"/>
                <w:kern w:val="0"/>
                <w:sz w:val="24"/>
                <w:szCs w:val="24"/>
                <w:highlight w:val="none"/>
              </w:rPr>
            </w:pPr>
          </w:p>
        </w:tc>
      </w:tr>
      <w:tr w14:paraId="3757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1" w:hRule="atLeast"/>
          <w:jc w:val="center"/>
        </w:trPr>
        <w:tc>
          <w:tcPr>
            <w:tcW w:w="1219" w:type="dxa"/>
            <w:vMerge w:val="continue"/>
            <w:vAlign w:val="center"/>
          </w:tcPr>
          <w:p w14:paraId="31E98023">
            <w:pPr>
              <w:widowControl/>
              <w:jc w:val="center"/>
              <w:rPr>
                <w:rFonts w:hint="eastAsia" w:ascii="宋体" w:hAnsi="宋体" w:eastAsia="宋体" w:cs="宋体"/>
                <w:color w:val="auto"/>
                <w:kern w:val="0"/>
                <w:sz w:val="24"/>
                <w:szCs w:val="24"/>
                <w:highlight w:val="none"/>
                <w:lang w:eastAsia="zh-CN"/>
              </w:rPr>
            </w:pPr>
          </w:p>
        </w:tc>
        <w:tc>
          <w:tcPr>
            <w:tcW w:w="1239" w:type="dxa"/>
            <w:shd w:val="clear" w:color="auto" w:fill="auto"/>
            <w:vAlign w:val="center"/>
          </w:tcPr>
          <w:p w14:paraId="2626B285">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自动机场2</w:t>
            </w:r>
          </w:p>
        </w:tc>
        <w:tc>
          <w:tcPr>
            <w:tcW w:w="3089" w:type="dxa"/>
            <w:shd w:val="clear" w:color="auto" w:fill="auto"/>
            <w:vAlign w:val="center"/>
          </w:tcPr>
          <w:p w14:paraId="59E50769">
            <w:pPr>
              <w:keepNext w:val="0"/>
              <w:keepLines w:val="0"/>
              <w:widowControl/>
              <w:suppressLineNumbers w:val="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外形尺寸（长×宽×高）≤ 650×750×800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最大允许降落风速≥ 6级；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网络支持：5G，4G；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无人机最大起飞重量≥ 2000g；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负载长焦相机像素≥4800万。</w:t>
            </w:r>
          </w:p>
        </w:tc>
        <w:tc>
          <w:tcPr>
            <w:tcW w:w="698" w:type="dxa"/>
            <w:shd w:val="clear" w:color="000000" w:fill="FFFFFF"/>
            <w:vAlign w:val="center"/>
          </w:tcPr>
          <w:p w14:paraId="4469B43E">
            <w:pPr>
              <w:widowControl/>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680" w:type="dxa"/>
            <w:shd w:val="clear" w:color="000000" w:fill="FFFFFF"/>
            <w:vAlign w:val="center"/>
          </w:tcPr>
          <w:p w14:paraId="3AE77AE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915" w:type="dxa"/>
            <w:vMerge w:val="continue"/>
            <w:shd w:val="clear" w:color="auto" w:fill="FF0000"/>
            <w:vAlign w:val="center"/>
          </w:tcPr>
          <w:p w14:paraId="7262CE28">
            <w:pPr>
              <w:widowControl/>
              <w:jc w:val="center"/>
              <w:rPr>
                <w:rFonts w:hint="eastAsia" w:ascii="宋体" w:hAnsi="宋体" w:eastAsia="宋体" w:cs="宋体"/>
                <w:color w:val="auto"/>
                <w:kern w:val="0"/>
                <w:sz w:val="24"/>
                <w:szCs w:val="24"/>
                <w:highlight w:val="none"/>
              </w:rPr>
            </w:pPr>
          </w:p>
        </w:tc>
        <w:tc>
          <w:tcPr>
            <w:tcW w:w="864" w:type="dxa"/>
            <w:vMerge w:val="continue"/>
            <w:vAlign w:val="center"/>
          </w:tcPr>
          <w:p w14:paraId="3F4D5BD1">
            <w:pPr>
              <w:jc w:val="center"/>
              <w:rPr>
                <w:rFonts w:hint="eastAsia" w:ascii="宋体" w:hAnsi="宋体" w:eastAsia="宋体" w:cs="宋体"/>
                <w:color w:val="auto"/>
                <w:kern w:val="0"/>
                <w:sz w:val="24"/>
                <w:szCs w:val="24"/>
                <w:highlight w:val="none"/>
              </w:rPr>
            </w:pPr>
          </w:p>
        </w:tc>
        <w:tc>
          <w:tcPr>
            <w:tcW w:w="694" w:type="dxa"/>
            <w:vMerge w:val="continue"/>
            <w:shd w:val="clear" w:color="auto" w:fill="auto"/>
            <w:vAlign w:val="center"/>
          </w:tcPr>
          <w:p w14:paraId="14C51C38">
            <w:pPr>
              <w:jc w:val="center"/>
              <w:rPr>
                <w:rFonts w:hint="eastAsia" w:ascii="宋体" w:hAnsi="宋体" w:eastAsia="宋体" w:cs="宋体"/>
                <w:color w:val="auto"/>
                <w:kern w:val="0"/>
                <w:sz w:val="24"/>
                <w:szCs w:val="24"/>
                <w:highlight w:val="none"/>
              </w:rPr>
            </w:pPr>
          </w:p>
        </w:tc>
        <w:tc>
          <w:tcPr>
            <w:tcW w:w="1956" w:type="dxa"/>
            <w:vMerge w:val="continue"/>
            <w:shd w:val="clear" w:color="auto" w:fill="auto"/>
            <w:vAlign w:val="center"/>
          </w:tcPr>
          <w:p w14:paraId="009531CF">
            <w:pPr>
              <w:jc w:val="center"/>
              <w:rPr>
                <w:rFonts w:hint="eastAsia" w:ascii="宋体" w:hAnsi="宋体" w:eastAsia="宋体" w:cs="宋体"/>
                <w:color w:val="auto"/>
                <w:kern w:val="0"/>
                <w:sz w:val="24"/>
                <w:szCs w:val="24"/>
                <w:highlight w:val="none"/>
              </w:rPr>
            </w:pPr>
          </w:p>
        </w:tc>
        <w:tc>
          <w:tcPr>
            <w:tcW w:w="1698" w:type="dxa"/>
            <w:vMerge w:val="continue"/>
            <w:shd w:val="clear" w:color="auto" w:fill="auto"/>
            <w:vAlign w:val="center"/>
          </w:tcPr>
          <w:p w14:paraId="15434B79">
            <w:pPr>
              <w:jc w:val="center"/>
              <w:rPr>
                <w:rFonts w:hint="eastAsia" w:ascii="宋体" w:hAnsi="宋体" w:eastAsia="宋体" w:cs="宋体"/>
                <w:color w:val="auto"/>
                <w:kern w:val="0"/>
                <w:sz w:val="24"/>
                <w:szCs w:val="24"/>
                <w:highlight w:val="none"/>
              </w:rPr>
            </w:pPr>
          </w:p>
        </w:tc>
      </w:tr>
    </w:tbl>
    <w:p w14:paraId="363BA9D1">
      <w:pPr>
        <w:widowControl/>
        <w:jc w:val="left"/>
        <w:rPr>
          <w:rFonts w:hint="eastAsia" w:ascii="宋体" w:hAnsi="宋体" w:eastAsia="宋体" w:cs="宋体"/>
          <w:b/>
          <w:bCs/>
          <w:color w:val="auto"/>
          <w:kern w:val="0"/>
          <w:sz w:val="24"/>
          <w:szCs w:val="24"/>
          <w:highlight w:val="none"/>
        </w:rPr>
      </w:pPr>
    </w:p>
    <w:p w14:paraId="14E1D093">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232FA1CF">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795D627">
      <w:pPr>
        <w:pStyle w:val="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E31070B">
      <w:pPr>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7441F6D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1F93D380">
      <w:pPr>
        <w:rPr>
          <w:rFonts w:hint="eastAsia" w:ascii="宋体" w:hAnsi="宋体" w:eastAsia="宋体" w:cs="宋体"/>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EU-F1">
    <w:altName w:val="Noto Sans SC"/>
    <w:panose1 w:val="00000000000000000000"/>
    <w:charset w:val="00"/>
    <w:family w:val="script"/>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33214">
    <w:pPr>
      <w:pStyle w:val="7"/>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07F58C">
                          <w:pPr>
                            <w:pStyle w:val="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D07F58C">
                    <w:pPr>
                      <w:pStyle w:val="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78AE267">
                          <w:pPr>
                            <w:pStyle w:val="7"/>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78AE267">
                    <w:pPr>
                      <w:pStyle w:val="7"/>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9A228E9"/>
    <w:rsid w:val="0C21178A"/>
    <w:rsid w:val="0EBC0C38"/>
    <w:rsid w:val="0ED22588"/>
    <w:rsid w:val="14DF71D8"/>
    <w:rsid w:val="16267F4A"/>
    <w:rsid w:val="17252504"/>
    <w:rsid w:val="17832749"/>
    <w:rsid w:val="1859351A"/>
    <w:rsid w:val="19001702"/>
    <w:rsid w:val="191F2CF3"/>
    <w:rsid w:val="1F815636"/>
    <w:rsid w:val="28455ABC"/>
    <w:rsid w:val="28DD01B7"/>
    <w:rsid w:val="30507DBC"/>
    <w:rsid w:val="30B11943"/>
    <w:rsid w:val="34C46910"/>
    <w:rsid w:val="3CD57BDC"/>
    <w:rsid w:val="3F8A64BB"/>
    <w:rsid w:val="41145134"/>
    <w:rsid w:val="41C71D3C"/>
    <w:rsid w:val="42453C5A"/>
    <w:rsid w:val="46AC0306"/>
    <w:rsid w:val="471B4AB9"/>
    <w:rsid w:val="4A962F44"/>
    <w:rsid w:val="4AA15384"/>
    <w:rsid w:val="4D2E620D"/>
    <w:rsid w:val="4E540867"/>
    <w:rsid w:val="51340035"/>
    <w:rsid w:val="55003FDE"/>
    <w:rsid w:val="57326CF4"/>
    <w:rsid w:val="61A629C8"/>
    <w:rsid w:val="631772FC"/>
    <w:rsid w:val="637846F9"/>
    <w:rsid w:val="678C5870"/>
    <w:rsid w:val="67BB0220"/>
    <w:rsid w:val="6CB5251A"/>
    <w:rsid w:val="72571F37"/>
    <w:rsid w:val="72850588"/>
    <w:rsid w:val="72EB3A04"/>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spacing w:line="480" w:lineRule="auto"/>
    </w:pPr>
    <w:rPr>
      <w:rFonts w:ascii="EU-F1" w:hAnsi="Times New Roman" w:eastAsia="黑体" w:cs="Times New Roman"/>
      <w:color w:val="000000"/>
      <w:kern w:val="44"/>
      <w:sz w:val="21"/>
      <w:szCs w:val="21"/>
      <w:lang w:val="en-US" w:eastAsia="zh-CN" w:bidi="ar-SA"/>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szCs w:val="24"/>
    </w:rPr>
  </w:style>
  <w:style w:type="paragraph" w:styleId="6">
    <w:name w:val="Body Text Indent"/>
    <w:basedOn w:val="1"/>
    <w:autoRedefine/>
    <w:qFormat/>
    <w:uiPriority w:val="0"/>
    <w:pPr>
      <w:spacing w:after="120"/>
      <w:ind w:left="420"/>
    </w:pPr>
    <w:rPr>
      <w:sz w:val="22"/>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autoRedefine/>
    <w:qFormat/>
    <w:uiPriority w:val="0"/>
    <w:pPr>
      <w:ind w:firstLine="420"/>
    </w:pPr>
  </w:style>
  <w:style w:type="character" w:styleId="12">
    <w:name w:val="Hyperlink"/>
    <w:autoRedefine/>
    <w:qFormat/>
    <w:uiPriority w:val="99"/>
    <w:rPr>
      <w:color w:val="0000FF"/>
      <w:u w:val="single"/>
    </w:rPr>
  </w:style>
  <w:style w:type="paragraph" w:customStyle="1" w:styleId="13">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4">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5">
    <w:name w:val="No Spacing"/>
    <w:autoRedefine/>
    <w:qFormat/>
    <w:uiPriority w:val="1"/>
    <w:rPr>
      <w:rFonts w:ascii="宋体" w:hAnsi="宋体" w:eastAsia="宋体" w:cs="宋体"/>
      <w:kern w:val="0"/>
      <w:sz w:val="24"/>
      <w:szCs w:val="24"/>
      <w:lang w:val="en-US" w:eastAsia="zh-CN" w:bidi="ar-SA"/>
    </w:rPr>
  </w:style>
  <w:style w:type="character" w:customStyle="1" w:styleId="16">
    <w:name w:val="font31"/>
    <w:basedOn w:val="11"/>
    <w:qFormat/>
    <w:uiPriority w:val="0"/>
    <w:rPr>
      <w:rFonts w:hint="eastAsia" w:ascii="仿宋" w:hAnsi="仿宋" w:eastAsia="仿宋" w:cs="仿宋"/>
      <w:color w:val="000000"/>
      <w:sz w:val="24"/>
      <w:szCs w:val="24"/>
      <w:u w:val="none"/>
      <w:vertAlign w:val="superscript"/>
    </w:rPr>
  </w:style>
  <w:style w:type="character" w:customStyle="1" w:styleId="17">
    <w:name w:val="font41"/>
    <w:basedOn w:val="1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5553</Words>
  <Characters>6151</Characters>
  <Lines>0</Lines>
  <Paragraphs>0</Paragraphs>
  <TotalTime>0</TotalTime>
  <ScaleCrop>false</ScaleCrop>
  <LinksUpToDate>false</LinksUpToDate>
  <CharactersWithSpaces>6183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2026-05-09T11:22:26Z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F2F8A0188D744AB7A825F4CB55F896D3_13</vt:lpwstr>
  </property>
  <property fmtid="{D5CDD505-2E9C-101B-9397-08002B2CF9AE}" pid="4" name="KSOTemplateDocerSaveRecord">
    <vt:lpwstr>eyJoZGlkIjoiYWYyNmUzZTIxOTM2NWQ5NGQwNDYxODU3N2MzMjZhNzAiLCJ1c2VySWQiOiI5NjA4MzkzNTgifQ==</vt:lpwstr>
  </property>
</Properties>
</file>