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40B20">
      <w:pPr>
        <w:pStyle w:val="5"/>
        <w:spacing w:after="0"/>
        <w:jc w:val="left"/>
        <w:outlineLvl w:val="1"/>
        <w:rPr>
          <w:rFonts w:hint="eastAsia" w:ascii="宋体" w:hAnsi="宋体" w:eastAsia="宋体" w:cs="宋体"/>
          <w:color w:val="auto"/>
          <w:sz w:val="24"/>
          <w:szCs w:val="24"/>
          <w:highlight w:val="none"/>
        </w:rPr>
      </w:pPr>
      <w:bookmarkStart w:id="0" w:name="_GoBack"/>
      <w:r>
        <w:rPr>
          <w:rFonts w:hint="eastAsia" w:ascii="宋体" w:hAnsi="宋体" w:eastAsia="宋体" w:cs="宋体"/>
          <w:b/>
          <w:bCs/>
          <w:color w:val="auto"/>
          <w:sz w:val="24"/>
          <w:szCs w:val="24"/>
          <w:highlight w:val="none"/>
          <w:lang w:eastAsia="zh-CN"/>
        </w:rPr>
        <w:t>招标公告</w:t>
      </w:r>
      <w:r>
        <w:rPr>
          <w:rFonts w:hint="eastAsia" w:ascii="宋体" w:hAnsi="宋体" w:eastAsia="宋体" w:cs="宋体"/>
          <w:b/>
          <w:bCs/>
          <w:color w:val="auto"/>
          <w:sz w:val="24"/>
          <w:szCs w:val="24"/>
          <w:highlight w:val="none"/>
        </w:rPr>
        <w:t>附件</w:t>
      </w:r>
    </w:p>
    <w:bookmarkEnd w:id="0"/>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765"/>
        <w:gridCol w:w="5111"/>
        <w:gridCol w:w="463"/>
        <w:gridCol w:w="562"/>
        <w:gridCol w:w="751"/>
        <w:gridCol w:w="888"/>
        <w:gridCol w:w="842"/>
        <w:gridCol w:w="2222"/>
      </w:tblGrid>
      <w:tr w14:paraId="55FD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1193" w:type="dxa"/>
            <w:vAlign w:val="center"/>
          </w:tcPr>
          <w:p w14:paraId="2DD45B04">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765" w:type="dxa"/>
            <w:shd w:val="clear" w:color="auto" w:fill="auto"/>
            <w:vAlign w:val="center"/>
          </w:tcPr>
          <w:p w14:paraId="4373F78E">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5111" w:type="dxa"/>
            <w:shd w:val="clear" w:color="auto" w:fill="auto"/>
            <w:vAlign w:val="center"/>
          </w:tcPr>
          <w:p w14:paraId="3121B8A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463" w:type="dxa"/>
            <w:shd w:val="clear" w:color="auto" w:fill="auto"/>
            <w:vAlign w:val="center"/>
          </w:tcPr>
          <w:p w14:paraId="5013B6AD">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562" w:type="dxa"/>
            <w:shd w:val="clear" w:color="auto" w:fill="auto"/>
            <w:vAlign w:val="center"/>
          </w:tcPr>
          <w:p w14:paraId="4A8E6944">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751" w:type="dxa"/>
            <w:shd w:val="clear" w:color="auto" w:fill="FF0000"/>
            <w:vAlign w:val="center"/>
          </w:tcPr>
          <w:p w14:paraId="2DF589D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交货日期</w:t>
            </w:r>
          </w:p>
        </w:tc>
        <w:tc>
          <w:tcPr>
            <w:tcW w:w="888" w:type="dxa"/>
            <w:vAlign w:val="center"/>
          </w:tcPr>
          <w:p w14:paraId="19AD0032">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质保期（不低于）</w:t>
            </w:r>
          </w:p>
        </w:tc>
        <w:tc>
          <w:tcPr>
            <w:tcW w:w="842" w:type="dxa"/>
            <w:shd w:val="clear" w:color="auto" w:fill="auto"/>
            <w:vAlign w:val="center"/>
          </w:tcPr>
          <w:p w14:paraId="0FA1FEB5">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2222" w:type="dxa"/>
            <w:shd w:val="clear" w:color="auto" w:fill="auto"/>
            <w:vAlign w:val="center"/>
          </w:tcPr>
          <w:p w14:paraId="22380F66">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专用</w:t>
            </w:r>
            <w:r>
              <w:rPr>
                <w:rFonts w:hint="eastAsia" w:ascii="宋体" w:hAnsi="宋体" w:eastAsia="宋体" w:cs="宋体"/>
                <w:b/>
                <w:bCs/>
                <w:color w:val="auto"/>
                <w:kern w:val="0"/>
                <w:sz w:val="24"/>
                <w:szCs w:val="24"/>
                <w:highlight w:val="none"/>
              </w:rPr>
              <w:t>业绩要求</w:t>
            </w:r>
          </w:p>
        </w:tc>
      </w:tr>
      <w:tr w14:paraId="09CB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193" w:type="dxa"/>
            <w:vMerge w:val="restart"/>
            <w:vAlign w:val="center"/>
          </w:tcPr>
          <w:p w14:paraId="7F09B1D7">
            <w:pPr>
              <w:widowControl/>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综合控制模组等采购项目</w:t>
            </w:r>
          </w:p>
        </w:tc>
        <w:tc>
          <w:tcPr>
            <w:tcW w:w="765" w:type="dxa"/>
            <w:shd w:val="clear" w:color="auto" w:fill="auto"/>
            <w:vAlign w:val="center"/>
          </w:tcPr>
          <w:p w14:paraId="1AE07007">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故障分析模块</w:t>
            </w:r>
          </w:p>
        </w:tc>
        <w:tc>
          <w:tcPr>
            <w:tcW w:w="5111" w:type="dxa"/>
            <w:shd w:val="clear" w:color="auto" w:fill="auto"/>
            <w:vAlign w:val="center"/>
          </w:tcPr>
          <w:p w14:paraId="158D3F8C">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雷击与非雷击故障辨识准确率≥95%；                                                                  故障区间定位可靠性≥99%；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绕反击识别准确率≥90%；                                                                             故障定位误差≤300 米；</w:t>
            </w:r>
          </w:p>
        </w:tc>
        <w:tc>
          <w:tcPr>
            <w:tcW w:w="463" w:type="dxa"/>
            <w:shd w:val="clear" w:color="000000" w:fill="FFFFFF"/>
            <w:vAlign w:val="center"/>
          </w:tcPr>
          <w:p w14:paraId="5EEE1329">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562" w:type="dxa"/>
            <w:shd w:val="clear" w:color="000000" w:fill="FFFFFF"/>
            <w:vAlign w:val="center"/>
          </w:tcPr>
          <w:p w14:paraId="39672126">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31</w:t>
            </w:r>
          </w:p>
        </w:tc>
        <w:tc>
          <w:tcPr>
            <w:tcW w:w="751" w:type="dxa"/>
            <w:vMerge w:val="restart"/>
            <w:shd w:val="clear" w:color="auto" w:fill="FF0000"/>
            <w:vAlign w:val="center"/>
          </w:tcPr>
          <w:p w14:paraId="03F330D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接到供货通知后</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u w:val="single"/>
              </w:rPr>
              <w:t>0</w:t>
            </w:r>
            <w:r>
              <w:rPr>
                <w:rFonts w:hint="eastAsia" w:ascii="宋体" w:hAnsi="宋体" w:eastAsia="宋体" w:cs="宋体"/>
                <w:color w:val="auto"/>
                <w:kern w:val="0"/>
                <w:sz w:val="24"/>
                <w:szCs w:val="24"/>
                <w:highlight w:val="none"/>
              </w:rPr>
              <w:t>日内</w:t>
            </w:r>
          </w:p>
        </w:tc>
        <w:tc>
          <w:tcPr>
            <w:tcW w:w="888" w:type="dxa"/>
            <w:vMerge w:val="restart"/>
            <w:vAlign w:val="center"/>
          </w:tcPr>
          <w:p w14:paraId="29B466DA">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36个月</w:t>
            </w:r>
          </w:p>
        </w:tc>
        <w:tc>
          <w:tcPr>
            <w:tcW w:w="842" w:type="dxa"/>
            <w:vMerge w:val="restart"/>
            <w:shd w:val="clear" w:color="auto" w:fill="auto"/>
            <w:vAlign w:val="center"/>
          </w:tcPr>
          <w:p w14:paraId="76CB5130">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买方指定地点地面交货</w:t>
            </w:r>
          </w:p>
        </w:tc>
        <w:tc>
          <w:tcPr>
            <w:tcW w:w="2222" w:type="dxa"/>
            <w:vMerge w:val="restart"/>
            <w:shd w:val="clear" w:color="auto" w:fill="auto"/>
            <w:vAlign w:val="center"/>
          </w:tcPr>
          <w:p w14:paraId="08603A92">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业绩要求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2023年1月1日至2025年12月31日，完成过在线监测装置或故障诊断分析装置等</w:t>
            </w:r>
            <w:r>
              <w:rPr>
                <w:rFonts w:hint="eastAsia" w:ascii="宋体" w:hAnsi="宋体" w:eastAsia="宋体" w:cs="宋体"/>
                <w:color w:val="auto"/>
                <w:kern w:val="0"/>
                <w:sz w:val="24"/>
                <w:szCs w:val="24"/>
                <w:highlight w:val="none"/>
                <w:lang w:val="en-US" w:eastAsia="zh-CN"/>
              </w:rPr>
              <w:t>销售</w:t>
            </w:r>
            <w:r>
              <w:rPr>
                <w:rFonts w:hint="eastAsia" w:ascii="宋体" w:hAnsi="宋体" w:eastAsia="宋体" w:cs="宋体"/>
                <w:color w:val="auto"/>
                <w:kern w:val="0"/>
                <w:sz w:val="24"/>
                <w:szCs w:val="24"/>
                <w:highlight w:val="none"/>
              </w:rPr>
              <w:t>业绩不少于1份，累计金额不低于</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0万元。注:业绩必须提供对应的合同复印件、发票和相应查验截图。</w:t>
            </w:r>
          </w:p>
        </w:tc>
      </w:tr>
      <w:tr w14:paraId="2E0A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1193" w:type="dxa"/>
            <w:vMerge w:val="continue"/>
            <w:vAlign w:val="center"/>
          </w:tcPr>
          <w:p w14:paraId="4F56D935">
            <w:pPr>
              <w:widowControl/>
              <w:jc w:val="center"/>
              <w:rPr>
                <w:rFonts w:hint="eastAsia" w:ascii="宋体" w:hAnsi="宋体" w:eastAsia="宋体" w:cs="宋体"/>
                <w:color w:val="auto"/>
                <w:kern w:val="0"/>
                <w:sz w:val="24"/>
                <w:szCs w:val="24"/>
                <w:highlight w:val="none"/>
                <w:lang w:eastAsia="zh-CN"/>
              </w:rPr>
            </w:pPr>
          </w:p>
        </w:tc>
        <w:tc>
          <w:tcPr>
            <w:tcW w:w="765" w:type="dxa"/>
            <w:shd w:val="clear" w:color="auto" w:fill="auto"/>
            <w:vAlign w:val="center"/>
          </w:tcPr>
          <w:p w14:paraId="1F024738">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通信模组</w:t>
            </w:r>
          </w:p>
        </w:tc>
        <w:tc>
          <w:tcPr>
            <w:tcW w:w="5111" w:type="dxa"/>
            <w:shd w:val="clear" w:color="auto" w:fill="auto"/>
            <w:vAlign w:val="center"/>
          </w:tcPr>
          <w:p w14:paraId="5DBE055C">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能将记录数据实时、准确地以无线方式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发送到后台中心站，内存≥256M                                                                         数据记录准确率≥99%；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在通讯中断时，可自动保存测得的数据，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自动保存天数≥30 天；</w:t>
            </w:r>
          </w:p>
        </w:tc>
        <w:tc>
          <w:tcPr>
            <w:tcW w:w="463" w:type="dxa"/>
            <w:shd w:val="clear" w:color="000000" w:fill="FFFFFF"/>
            <w:vAlign w:val="center"/>
          </w:tcPr>
          <w:p w14:paraId="312A3490">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个</w:t>
            </w:r>
          </w:p>
        </w:tc>
        <w:tc>
          <w:tcPr>
            <w:tcW w:w="562" w:type="dxa"/>
            <w:shd w:val="clear" w:color="000000" w:fill="FFFFFF"/>
            <w:vAlign w:val="center"/>
          </w:tcPr>
          <w:p w14:paraId="27A93924">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31</w:t>
            </w:r>
          </w:p>
        </w:tc>
        <w:tc>
          <w:tcPr>
            <w:tcW w:w="751" w:type="dxa"/>
            <w:vMerge w:val="continue"/>
            <w:shd w:val="clear" w:color="auto" w:fill="FF0000"/>
            <w:vAlign w:val="center"/>
          </w:tcPr>
          <w:p w14:paraId="2BCD95FA">
            <w:pPr>
              <w:widowControl/>
              <w:jc w:val="center"/>
              <w:rPr>
                <w:rFonts w:hint="eastAsia" w:ascii="宋体" w:hAnsi="宋体" w:eastAsia="宋体" w:cs="宋体"/>
                <w:color w:val="auto"/>
                <w:kern w:val="0"/>
                <w:sz w:val="24"/>
                <w:szCs w:val="24"/>
                <w:highlight w:val="none"/>
              </w:rPr>
            </w:pPr>
          </w:p>
        </w:tc>
        <w:tc>
          <w:tcPr>
            <w:tcW w:w="888" w:type="dxa"/>
            <w:vMerge w:val="continue"/>
            <w:vAlign w:val="center"/>
          </w:tcPr>
          <w:p w14:paraId="517D039B">
            <w:pPr>
              <w:jc w:val="center"/>
              <w:rPr>
                <w:rFonts w:hint="eastAsia" w:ascii="宋体" w:hAnsi="宋体" w:eastAsia="宋体" w:cs="宋体"/>
                <w:color w:val="auto"/>
                <w:kern w:val="0"/>
                <w:sz w:val="24"/>
                <w:szCs w:val="24"/>
                <w:highlight w:val="none"/>
              </w:rPr>
            </w:pPr>
          </w:p>
        </w:tc>
        <w:tc>
          <w:tcPr>
            <w:tcW w:w="842" w:type="dxa"/>
            <w:vMerge w:val="continue"/>
            <w:shd w:val="clear" w:color="auto" w:fill="auto"/>
            <w:vAlign w:val="center"/>
          </w:tcPr>
          <w:p w14:paraId="6F1D979A">
            <w:pPr>
              <w:jc w:val="center"/>
              <w:rPr>
                <w:rFonts w:hint="eastAsia" w:ascii="宋体" w:hAnsi="宋体" w:eastAsia="宋体" w:cs="宋体"/>
                <w:color w:val="auto"/>
                <w:kern w:val="0"/>
                <w:sz w:val="24"/>
                <w:szCs w:val="24"/>
                <w:highlight w:val="none"/>
              </w:rPr>
            </w:pPr>
          </w:p>
        </w:tc>
        <w:tc>
          <w:tcPr>
            <w:tcW w:w="2222" w:type="dxa"/>
            <w:vMerge w:val="continue"/>
            <w:shd w:val="clear" w:color="auto" w:fill="auto"/>
            <w:vAlign w:val="center"/>
          </w:tcPr>
          <w:p w14:paraId="30C4D60C">
            <w:pPr>
              <w:jc w:val="center"/>
              <w:rPr>
                <w:rFonts w:hint="eastAsia" w:ascii="宋体" w:hAnsi="宋体" w:eastAsia="宋体" w:cs="宋体"/>
                <w:color w:val="auto"/>
                <w:kern w:val="0"/>
                <w:sz w:val="24"/>
                <w:szCs w:val="24"/>
                <w:highlight w:val="none"/>
              </w:rPr>
            </w:pPr>
          </w:p>
        </w:tc>
      </w:tr>
      <w:tr w14:paraId="4499E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193" w:type="dxa"/>
            <w:vMerge w:val="continue"/>
            <w:vAlign w:val="center"/>
          </w:tcPr>
          <w:p w14:paraId="6BE17FB6">
            <w:pPr>
              <w:widowControl/>
              <w:jc w:val="center"/>
              <w:rPr>
                <w:rFonts w:hint="eastAsia" w:ascii="宋体" w:hAnsi="宋体" w:eastAsia="宋体" w:cs="宋体"/>
                <w:color w:val="auto"/>
                <w:kern w:val="0"/>
                <w:sz w:val="24"/>
                <w:szCs w:val="24"/>
                <w:highlight w:val="none"/>
                <w:lang w:eastAsia="zh-CN"/>
              </w:rPr>
            </w:pPr>
          </w:p>
        </w:tc>
        <w:tc>
          <w:tcPr>
            <w:tcW w:w="765" w:type="dxa"/>
            <w:shd w:val="clear" w:color="auto" w:fill="auto"/>
            <w:vAlign w:val="center"/>
          </w:tcPr>
          <w:p w14:paraId="1D4911D6">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综合控制模组</w:t>
            </w:r>
          </w:p>
        </w:tc>
        <w:tc>
          <w:tcPr>
            <w:tcW w:w="5111" w:type="dxa"/>
            <w:shd w:val="clear" w:color="auto" w:fill="auto"/>
            <w:vAlign w:val="center"/>
          </w:tcPr>
          <w:p w14:paraId="47102330">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报文缓冲能力≥1000 条；                                                                           电压传感器带宽 15～5MHz；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工频电压、电流连续记录时长≥1000ms；                                                               行波电压、电流连续记录时长≥5000us；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连续故障相应次数≥10 次；</w:t>
            </w:r>
          </w:p>
        </w:tc>
        <w:tc>
          <w:tcPr>
            <w:tcW w:w="463" w:type="dxa"/>
            <w:shd w:val="clear" w:color="000000" w:fill="FFFFFF"/>
            <w:vAlign w:val="center"/>
          </w:tcPr>
          <w:p w14:paraId="0EB849BA">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个</w:t>
            </w:r>
          </w:p>
        </w:tc>
        <w:tc>
          <w:tcPr>
            <w:tcW w:w="562" w:type="dxa"/>
            <w:shd w:val="clear" w:color="000000" w:fill="FFFFFF"/>
            <w:vAlign w:val="center"/>
          </w:tcPr>
          <w:p w14:paraId="6525D115">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31</w:t>
            </w:r>
          </w:p>
        </w:tc>
        <w:tc>
          <w:tcPr>
            <w:tcW w:w="751" w:type="dxa"/>
            <w:vMerge w:val="continue"/>
            <w:shd w:val="clear" w:color="auto" w:fill="FF0000"/>
            <w:vAlign w:val="center"/>
          </w:tcPr>
          <w:p w14:paraId="52AB551A">
            <w:pPr>
              <w:widowControl/>
              <w:jc w:val="center"/>
              <w:rPr>
                <w:rFonts w:hint="eastAsia" w:ascii="宋体" w:hAnsi="宋体" w:eastAsia="宋体" w:cs="宋体"/>
                <w:color w:val="auto"/>
                <w:kern w:val="0"/>
                <w:sz w:val="24"/>
                <w:szCs w:val="24"/>
                <w:highlight w:val="none"/>
              </w:rPr>
            </w:pPr>
          </w:p>
        </w:tc>
        <w:tc>
          <w:tcPr>
            <w:tcW w:w="888" w:type="dxa"/>
            <w:vMerge w:val="continue"/>
            <w:vAlign w:val="center"/>
          </w:tcPr>
          <w:p w14:paraId="737B7A27">
            <w:pPr>
              <w:jc w:val="center"/>
              <w:rPr>
                <w:rFonts w:hint="eastAsia" w:ascii="宋体" w:hAnsi="宋体" w:eastAsia="宋体" w:cs="宋体"/>
                <w:color w:val="auto"/>
                <w:kern w:val="0"/>
                <w:sz w:val="24"/>
                <w:szCs w:val="24"/>
                <w:highlight w:val="none"/>
              </w:rPr>
            </w:pPr>
          </w:p>
        </w:tc>
        <w:tc>
          <w:tcPr>
            <w:tcW w:w="842" w:type="dxa"/>
            <w:vMerge w:val="continue"/>
            <w:shd w:val="clear" w:color="auto" w:fill="auto"/>
            <w:vAlign w:val="center"/>
          </w:tcPr>
          <w:p w14:paraId="1B465C45">
            <w:pPr>
              <w:jc w:val="center"/>
              <w:rPr>
                <w:rFonts w:hint="eastAsia" w:ascii="宋体" w:hAnsi="宋体" w:eastAsia="宋体" w:cs="宋体"/>
                <w:color w:val="auto"/>
                <w:kern w:val="0"/>
                <w:sz w:val="24"/>
                <w:szCs w:val="24"/>
                <w:highlight w:val="none"/>
              </w:rPr>
            </w:pPr>
          </w:p>
        </w:tc>
        <w:tc>
          <w:tcPr>
            <w:tcW w:w="2222" w:type="dxa"/>
            <w:vMerge w:val="continue"/>
            <w:shd w:val="clear" w:color="auto" w:fill="auto"/>
            <w:vAlign w:val="center"/>
          </w:tcPr>
          <w:p w14:paraId="3DE1D553">
            <w:pPr>
              <w:jc w:val="center"/>
              <w:rPr>
                <w:rFonts w:hint="eastAsia" w:ascii="宋体" w:hAnsi="宋体" w:eastAsia="宋体" w:cs="宋体"/>
                <w:color w:val="auto"/>
                <w:kern w:val="0"/>
                <w:sz w:val="24"/>
                <w:szCs w:val="24"/>
                <w:highlight w:val="none"/>
              </w:rPr>
            </w:pPr>
          </w:p>
        </w:tc>
      </w:tr>
      <w:tr w14:paraId="5130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1193" w:type="dxa"/>
            <w:vMerge w:val="continue"/>
            <w:vAlign w:val="center"/>
          </w:tcPr>
          <w:p w14:paraId="425EFB99">
            <w:pPr>
              <w:widowControl/>
              <w:jc w:val="center"/>
              <w:rPr>
                <w:rFonts w:hint="eastAsia" w:ascii="宋体" w:hAnsi="宋体" w:eastAsia="宋体" w:cs="宋体"/>
                <w:color w:val="auto"/>
                <w:kern w:val="0"/>
                <w:sz w:val="24"/>
                <w:szCs w:val="24"/>
                <w:highlight w:val="none"/>
                <w:lang w:eastAsia="zh-CN"/>
              </w:rPr>
            </w:pPr>
          </w:p>
        </w:tc>
        <w:tc>
          <w:tcPr>
            <w:tcW w:w="765" w:type="dxa"/>
            <w:shd w:val="clear" w:color="auto" w:fill="auto"/>
            <w:vAlign w:val="center"/>
          </w:tcPr>
          <w:p w14:paraId="7E2E448D">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供电单元</w:t>
            </w:r>
          </w:p>
        </w:tc>
        <w:tc>
          <w:tcPr>
            <w:tcW w:w="5111" w:type="dxa"/>
            <w:shd w:val="clear" w:color="auto" w:fill="auto"/>
            <w:vAlign w:val="center"/>
          </w:tcPr>
          <w:p w14:paraId="6D625561">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太阳能电池板标称功率≥2*20W；                                                                    铁锂电池标称容量≥40Ah；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储能电池持续供电能力≥30 天；</w:t>
            </w:r>
          </w:p>
        </w:tc>
        <w:tc>
          <w:tcPr>
            <w:tcW w:w="463" w:type="dxa"/>
            <w:shd w:val="clear" w:color="000000" w:fill="FFFFFF"/>
            <w:vAlign w:val="center"/>
          </w:tcPr>
          <w:p w14:paraId="0D0AED29">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个</w:t>
            </w:r>
          </w:p>
        </w:tc>
        <w:tc>
          <w:tcPr>
            <w:tcW w:w="562" w:type="dxa"/>
            <w:shd w:val="clear" w:color="000000" w:fill="FFFFFF"/>
            <w:vAlign w:val="center"/>
          </w:tcPr>
          <w:p w14:paraId="7608BF62">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31</w:t>
            </w:r>
          </w:p>
        </w:tc>
        <w:tc>
          <w:tcPr>
            <w:tcW w:w="751" w:type="dxa"/>
            <w:vMerge w:val="continue"/>
            <w:shd w:val="clear" w:color="auto" w:fill="FF0000"/>
            <w:vAlign w:val="center"/>
          </w:tcPr>
          <w:p w14:paraId="2E480569">
            <w:pPr>
              <w:widowControl/>
              <w:jc w:val="center"/>
              <w:rPr>
                <w:rFonts w:hint="eastAsia" w:ascii="宋体" w:hAnsi="宋体" w:eastAsia="宋体" w:cs="宋体"/>
                <w:color w:val="auto"/>
                <w:kern w:val="0"/>
                <w:sz w:val="24"/>
                <w:szCs w:val="24"/>
                <w:highlight w:val="none"/>
              </w:rPr>
            </w:pPr>
          </w:p>
        </w:tc>
        <w:tc>
          <w:tcPr>
            <w:tcW w:w="888" w:type="dxa"/>
            <w:vMerge w:val="continue"/>
            <w:vAlign w:val="center"/>
          </w:tcPr>
          <w:p w14:paraId="2B877201">
            <w:pPr>
              <w:jc w:val="center"/>
              <w:rPr>
                <w:rFonts w:hint="eastAsia" w:ascii="宋体" w:hAnsi="宋体" w:eastAsia="宋体" w:cs="宋体"/>
                <w:color w:val="auto"/>
                <w:kern w:val="0"/>
                <w:sz w:val="24"/>
                <w:szCs w:val="24"/>
                <w:highlight w:val="none"/>
              </w:rPr>
            </w:pPr>
          </w:p>
        </w:tc>
        <w:tc>
          <w:tcPr>
            <w:tcW w:w="842" w:type="dxa"/>
            <w:vMerge w:val="continue"/>
            <w:shd w:val="clear" w:color="auto" w:fill="auto"/>
            <w:vAlign w:val="center"/>
          </w:tcPr>
          <w:p w14:paraId="0049D14A">
            <w:pPr>
              <w:jc w:val="center"/>
              <w:rPr>
                <w:rFonts w:hint="eastAsia" w:ascii="宋体" w:hAnsi="宋体" w:eastAsia="宋体" w:cs="宋体"/>
                <w:color w:val="auto"/>
                <w:kern w:val="0"/>
                <w:sz w:val="24"/>
                <w:szCs w:val="24"/>
                <w:highlight w:val="none"/>
              </w:rPr>
            </w:pPr>
          </w:p>
        </w:tc>
        <w:tc>
          <w:tcPr>
            <w:tcW w:w="2222" w:type="dxa"/>
            <w:vMerge w:val="continue"/>
            <w:shd w:val="clear" w:color="auto" w:fill="auto"/>
            <w:vAlign w:val="center"/>
          </w:tcPr>
          <w:p w14:paraId="18443C33">
            <w:pPr>
              <w:jc w:val="center"/>
              <w:rPr>
                <w:rFonts w:hint="eastAsia" w:ascii="宋体" w:hAnsi="宋体" w:eastAsia="宋体" w:cs="宋体"/>
                <w:color w:val="auto"/>
                <w:kern w:val="0"/>
                <w:sz w:val="24"/>
                <w:szCs w:val="24"/>
                <w:highlight w:val="none"/>
              </w:rPr>
            </w:pPr>
          </w:p>
        </w:tc>
      </w:tr>
      <w:tr w14:paraId="66256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1193" w:type="dxa"/>
            <w:vMerge w:val="continue"/>
            <w:vAlign w:val="center"/>
          </w:tcPr>
          <w:p w14:paraId="41D128D2">
            <w:pPr>
              <w:widowControl/>
              <w:jc w:val="center"/>
              <w:rPr>
                <w:rFonts w:hint="eastAsia" w:ascii="宋体" w:hAnsi="宋体" w:eastAsia="宋体" w:cs="宋体"/>
                <w:color w:val="auto"/>
                <w:kern w:val="0"/>
                <w:sz w:val="24"/>
                <w:szCs w:val="24"/>
                <w:highlight w:val="none"/>
                <w:lang w:eastAsia="zh-CN"/>
              </w:rPr>
            </w:pPr>
          </w:p>
        </w:tc>
        <w:tc>
          <w:tcPr>
            <w:tcW w:w="765" w:type="dxa"/>
            <w:shd w:val="clear" w:color="auto" w:fill="auto"/>
            <w:vAlign w:val="center"/>
          </w:tcPr>
          <w:p w14:paraId="538331B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外壳组件</w:t>
            </w:r>
          </w:p>
        </w:tc>
        <w:tc>
          <w:tcPr>
            <w:tcW w:w="5111" w:type="dxa"/>
            <w:shd w:val="clear" w:color="auto" w:fill="auto"/>
            <w:vAlign w:val="center"/>
          </w:tcPr>
          <w:p w14:paraId="139397FE">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外壳材质为不锈钢                                                                                     壳体模组外形尺寸(长、宽、高)≤450mm×400mm×200mm；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防水等级≥IP66；</w:t>
            </w:r>
          </w:p>
        </w:tc>
        <w:tc>
          <w:tcPr>
            <w:tcW w:w="463" w:type="dxa"/>
            <w:shd w:val="clear" w:color="000000" w:fill="FFFFFF"/>
            <w:vAlign w:val="center"/>
          </w:tcPr>
          <w:p w14:paraId="03970D99">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562" w:type="dxa"/>
            <w:shd w:val="clear" w:color="000000" w:fill="FFFFFF"/>
            <w:vAlign w:val="center"/>
          </w:tcPr>
          <w:p w14:paraId="0CB9F4A7">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31</w:t>
            </w:r>
          </w:p>
        </w:tc>
        <w:tc>
          <w:tcPr>
            <w:tcW w:w="751" w:type="dxa"/>
            <w:vMerge w:val="continue"/>
            <w:shd w:val="clear" w:color="auto" w:fill="FF0000"/>
            <w:vAlign w:val="center"/>
          </w:tcPr>
          <w:p w14:paraId="194DCF89">
            <w:pPr>
              <w:widowControl/>
              <w:jc w:val="center"/>
              <w:rPr>
                <w:rFonts w:hint="eastAsia" w:ascii="宋体" w:hAnsi="宋体" w:eastAsia="宋体" w:cs="宋体"/>
                <w:color w:val="auto"/>
                <w:kern w:val="0"/>
                <w:sz w:val="24"/>
                <w:szCs w:val="24"/>
                <w:highlight w:val="none"/>
              </w:rPr>
            </w:pPr>
          </w:p>
        </w:tc>
        <w:tc>
          <w:tcPr>
            <w:tcW w:w="888" w:type="dxa"/>
            <w:vMerge w:val="continue"/>
            <w:vAlign w:val="center"/>
          </w:tcPr>
          <w:p w14:paraId="0AE56EFD">
            <w:pPr>
              <w:jc w:val="center"/>
              <w:rPr>
                <w:rFonts w:hint="eastAsia" w:ascii="宋体" w:hAnsi="宋体" w:eastAsia="宋体" w:cs="宋体"/>
                <w:color w:val="auto"/>
                <w:kern w:val="0"/>
                <w:sz w:val="24"/>
                <w:szCs w:val="24"/>
                <w:highlight w:val="none"/>
              </w:rPr>
            </w:pPr>
          </w:p>
        </w:tc>
        <w:tc>
          <w:tcPr>
            <w:tcW w:w="842" w:type="dxa"/>
            <w:vMerge w:val="continue"/>
            <w:shd w:val="clear" w:color="auto" w:fill="auto"/>
            <w:vAlign w:val="center"/>
          </w:tcPr>
          <w:p w14:paraId="0CD64BC9">
            <w:pPr>
              <w:jc w:val="center"/>
              <w:rPr>
                <w:rFonts w:hint="eastAsia" w:ascii="宋体" w:hAnsi="宋体" w:eastAsia="宋体" w:cs="宋体"/>
                <w:color w:val="auto"/>
                <w:kern w:val="0"/>
                <w:sz w:val="24"/>
                <w:szCs w:val="24"/>
                <w:highlight w:val="none"/>
              </w:rPr>
            </w:pPr>
          </w:p>
        </w:tc>
        <w:tc>
          <w:tcPr>
            <w:tcW w:w="2222" w:type="dxa"/>
            <w:vMerge w:val="continue"/>
            <w:shd w:val="clear" w:color="auto" w:fill="auto"/>
            <w:vAlign w:val="center"/>
          </w:tcPr>
          <w:p w14:paraId="2280A8B2">
            <w:pPr>
              <w:jc w:val="center"/>
              <w:rPr>
                <w:rFonts w:hint="eastAsia" w:ascii="宋体" w:hAnsi="宋体" w:eastAsia="宋体" w:cs="宋体"/>
                <w:color w:val="auto"/>
                <w:kern w:val="0"/>
                <w:sz w:val="24"/>
                <w:szCs w:val="24"/>
                <w:highlight w:val="none"/>
              </w:rPr>
            </w:pPr>
          </w:p>
        </w:tc>
      </w:tr>
    </w:tbl>
    <w:p w14:paraId="14E1D093">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232FA1CF">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795D627">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E31070B">
      <w:pPr>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2.投标文件中提供的证明材料复印件应复印清晰、可辨认且不得遮盖、涂抹，否则视为无效。</w:t>
      </w:r>
    </w:p>
    <w:p w14:paraId="7441F6D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业绩认定时间以合同签订时间为准，合同签订时间不得晚于项目“专用业绩要求”中要求的时间。未提供发票或未提供对应发票查验结果截图的或合同签订时间晚于项目“专用业绩要求”中要求的时间的业绩不予认可。所有业绩支撑证明材料内容须保证清晰、可辨认且不得遮盖、涂抹。</w:t>
      </w:r>
    </w:p>
    <w:p w14:paraId="1F93D380">
      <w:pPr>
        <w:rPr>
          <w:rFonts w:hint="eastAsia" w:ascii="宋体" w:hAnsi="宋体" w:eastAsia="宋体" w:cs="宋体"/>
          <w:color w:val="auto"/>
          <w:sz w:val="24"/>
          <w:szCs w:val="24"/>
          <w:highlight w:val="none"/>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EU-F1">
    <w:altName w:val="Noto Sans SC"/>
    <w:panose1 w:val="00000000000000000000"/>
    <w:charset w:val="00"/>
    <w:family w:val="script"/>
    <w:pitch w:val="default"/>
    <w:sig w:usb0="00000000" w:usb1="00000000" w:usb2="00000010" w:usb3="00000000" w:csb0="00040000"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33214">
    <w:pPr>
      <w:pStyle w:val="7"/>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07F58C">
                          <w:pPr>
                            <w:pStyle w:val="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D07F58C">
                    <w:pPr>
                      <w:pStyle w:val="7"/>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778AE267">
                          <w:pPr>
                            <w:pStyle w:val="7"/>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778AE267">
                    <w:pPr>
                      <w:pStyle w:val="7"/>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2594AC2"/>
    <w:rsid w:val="04296AD3"/>
    <w:rsid w:val="04860D8F"/>
    <w:rsid w:val="08BC63E8"/>
    <w:rsid w:val="09A228E9"/>
    <w:rsid w:val="0C21178A"/>
    <w:rsid w:val="0ED22588"/>
    <w:rsid w:val="13133C7A"/>
    <w:rsid w:val="14DF71D8"/>
    <w:rsid w:val="16267F4A"/>
    <w:rsid w:val="17252504"/>
    <w:rsid w:val="17832749"/>
    <w:rsid w:val="1859351A"/>
    <w:rsid w:val="19001702"/>
    <w:rsid w:val="191F2CF3"/>
    <w:rsid w:val="1F815636"/>
    <w:rsid w:val="28455ABC"/>
    <w:rsid w:val="28DD01B7"/>
    <w:rsid w:val="30507DBC"/>
    <w:rsid w:val="345B5215"/>
    <w:rsid w:val="3CD57BDC"/>
    <w:rsid w:val="3F8A64BB"/>
    <w:rsid w:val="41145134"/>
    <w:rsid w:val="41C71D3C"/>
    <w:rsid w:val="42453C5A"/>
    <w:rsid w:val="46AC0306"/>
    <w:rsid w:val="471B4AB9"/>
    <w:rsid w:val="4A962F44"/>
    <w:rsid w:val="4AA15384"/>
    <w:rsid w:val="4D2E620D"/>
    <w:rsid w:val="51340035"/>
    <w:rsid w:val="55003FDE"/>
    <w:rsid w:val="57326CF4"/>
    <w:rsid w:val="61A629C8"/>
    <w:rsid w:val="631772FC"/>
    <w:rsid w:val="637846F9"/>
    <w:rsid w:val="678C5870"/>
    <w:rsid w:val="67BB0220"/>
    <w:rsid w:val="6CB5251A"/>
    <w:rsid w:val="70CA5919"/>
    <w:rsid w:val="72571F37"/>
    <w:rsid w:val="72850588"/>
    <w:rsid w:val="73DD4436"/>
    <w:rsid w:val="77C16217"/>
    <w:rsid w:val="7A9513C3"/>
    <w:rsid w:val="7B157B4B"/>
    <w:rsid w:val="7C7E1E97"/>
    <w:rsid w:val="7D734A5D"/>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样式1"/>
    <w:qFormat/>
    <w:uiPriority w:val="0"/>
    <w:pPr>
      <w:spacing w:line="480" w:lineRule="auto"/>
    </w:pPr>
    <w:rPr>
      <w:rFonts w:ascii="EU-F1" w:hAnsi="Times New Roman" w:eastAsia="黑体" w:cs="Times New Roman"/>
      <w:color w:val="000000"/>
      <w:kern w:val="44"/>
      <w:sz w:val="21"/>
      <w:szCs w:val="21"/>
      <w:lang w:val="en-US" w:eastAsia="zh-CN" w:bidi="ar-SA"/>
    </w:rPr>
  </w:style>
  <w:style w:type="paragraph" w:styleId="4">
    <w:name w:val="annotation text"/>
    <w:basedOn w:val="1"/>
    <w:autoRedefine/>
    <w:qFormat/>
    <w:uiPriority w:val="0"/>
    <w:pPr>
      <w:jc w:val="left"/>
    </w:pPr>
  </w:style>
  <w:style w:type="paragraph" w:styleId="5">
    <w:name w:val="Body Text"/>
    <w:basedOn w:val="1"/>
    <w:next w:val="1"/>
    <w:autoRedefine/>
    <w:qFormat/>
    <w:uiPriority w:val="0"/>
    <w:pPr>
      <w:spacing w:after="120"/>
    </w:pPr>
    <w:rPr>
      <w:szCs w:val="24"/>
    </w:rPr>
  </w:style>
  <w:style w:type="paragraph" w:styleId="6">
    <w:name w:val="Body Text Indent"/>
    <w:basedOn w:val="1"/>
    <w:autoRedefine/>
    <w:qFormat/>
    <w:uiPriority w:val="0"/>
    <w:pPr>
      <w:spacing w:after="120"/>
      <w:ind w:left="420"/>
    </w:pPr>
    <w:rPr>
      <w:sz w:val="22"/>
    </w:r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autoRedefine/>
    <w:qFormat/>
    <w:uiPriority w:val="0"/>
    <w:pPr>
      <w:ind w:firstLine="420"/>
    </w:pPr>
  </w:style>
  <w:style w:type="character" w:styleId="12">
    <w:name w:val="Hyperlink"/>
    <w:autoRedefine/>
    <w:qFormat/>
    <w:uiPriority w:val="99"/>
    <w:rPr>
      <w:color w:val="0000FF"/>
      <w:u w:val="single"/>
    </w:rPr>
  </w:style>
  <w:style w:type="paragraph" w:customStyle="1" w:styleId="13">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4">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5">
    <w:name w:val="No Spacing"/>
    <w:autoRedefine/>
    <w:qFormat/>
    <w:uiPriority w:val="1"/>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5598</Words>
  <Characters>6186</Characters>
  <Lines>0</Lines>
  <Paragraphs>0</Paragraphs>
  <TotalTime>1</TotalTime>
  <ScaleCrop>false</ScaleCrop>
  <LinksUpToDate>false</LinksUpToDate>
  <CharactersWithSpaces>6719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韩梅17660167329</cp:lastModifiedBy>
  <dcterms:modified xsi:type="dcterms:W3CDTF">2026-05-09T11:25:16Z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F8395411870F4F018ED44114F614EDE1_13</vt:lpwstr>
  </property>
  <property fmtid="{D5CDD505-2E9C-101B-9397-08002B2CF9AE}" pid="4" name="KSOTemplateDocerSaveRecord">
    <vt:lpwstr>eyJoZGlkIjoiYWYyNmUzZTIxOTM2NWQ5NGQwNDYxODU3N2MzMjZhNzAiLCJ1c2VySWQiOiI5NjA4MzkzNTgifQ==</vt:lpwstr>
  </property>
</Properties>
</file>