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2"/>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bookmarkStart w:id="5" w:name="_GoBack"/>
      <w:bookmarkEnd w:id="5"/>
      <w:r>
        <w:rPr>
          <w:rFonts w:ascii="黑体" w:hAnsi="黑体" w:eastAsia="黑体" w:cs="黑体"/>
          <w:b/>
          <w:bCs/>
          <w:color w:val="000000" w:themeColor="text1"/>
          <w:kern w:val="2"/>
          <w:sz w:val="24"/>
          <w:szCs w:val="24"/>
          <w:highlight w:val="none"/>
          <w:lang w:val="en-US"/>
          <w14:textFill>
            <w14:solidFill>
              <w14:schemeClr w14:val="tx1"/>
            </w14:solidFill>
          </w14:textFill>
        </w:rPr>
        <w:t xml:space="preserve">附件 </w:t>
      </w:r>
      <w:r>
        <w:rPr>
          <w:rFonts w:hint="eastAsia" w:ascii="黑体" w:hAnsi="黑体" w:eastAsia="黑体" w:cs="黑体"/>
          <w:b/>
          <w:bCs/>
          <w:color w:val="000000" w:themeColor="text1"/>
          <w:kern w:val="2"/>
          <w:sz w:val="24"/>
          <w:szCs w:val="24"/>
          <w:highlight w:val="none"/>
          <w:lang w:val="en-US"/>
          <w14:textFill>
            <w14:solidFill>
              <w14:schemeClr w14:val="tx1"/>
            </w14:solidFill>
          </w14:textFill>
        </w:rPr>
        <w:t>招标公告附件</w:t>
      </w:r>
    </w:p>
    <w:p w14:paraId="6C41FECD">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分标一：调度运维改造劳务服务项目</w:t>
      </w:r>
    </w:p>
    <w:p w14:paraId="680D554D">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分标编号：CY0626SFWP57FZ01</w:t>
      </w:r>
    </w:p>
    <w:tbl>
      <w:tblPr>
        <w:tblStyle w:val="9"/>
        <w:tblW w:w="135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3242"/>
        <w:gridCol w:w="915"/>
        <w:gridCol w:w="905"/>
        <w:gridCol w:w="836"/>
        <w:gridCol w:w="1018"/>
        <w:gridCol w:w="1263"/>
        <w:gridCol w:w="1980"/>
        <w:gridCol w:w="1575"/>
      </w:tblGrid>
      <w:tr w14:paraId="5867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61" w:type="dxa"/>
            <w:vAlign w:val="center"/>
          </w:tcPr>
          <w:p w14:paraId="49BCA047">
            <w:pPr>
              <w:ind w:firstLine="42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项目名称</w:t>
            </w:r>
          </w:p>
        </w:tc>
        <w:tc>
          <w:tcPr>
            <w:tcW w:w="3242" w:type="dxa"/>
            <w:vAlign w:val="center"/>
          </w:tcPr>
          <w:p w14:paraId="31A0B0DA">
            <w:pPr>
              <w:ind w:firstLine="42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服务内容</w:t>
            </w:r>
          </w:p>
        </w:tc>
        <w:tc>
          <w:tcPr>
            <w:tcW w:w="915" w:type="dxa"/>
            <w:vAlign w:val="center"/>
          </w:tcPr>
          <w:p w14:paraId="0F28F4C9">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数量</w:t>
            </w:r>
          </w:p>
        </w:tc>
        <w:tc>
          <w:tcPr>
            <w:tcW w:w="905" w:type="dxa"/>
            <w:vAlign w:val="center"/>
          </w:tcPr>
          <w:p w14:paraId="71C42DF9">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单位</w:t>
            </w:r>
          </w:p>
        </w:tc>
        <w:tc>
          <w:tcPr>
            <w:tcW w:w="836" w:type="dxa"/>
            <w:vAlign w:val="center"/>
          </w:tcPr>
          <w:p w14:paraId="45FD3CAD">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工期</w:t>
            </w:r>
          </w:p>
        </w:tc>
        <w:tc>
          <w:tcPr>
            <w:tcW w:w="1018" w:type="dxa"/>
            <w:vAlign w:val="center"/>
          </w:tcPr>
          <w:p w14:paraId="75A318BA">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质保期</w:t>
            </w:r>
          </w:p>
        </w:tc>
        <w:tc>
          <w:tcPr>
            <w:tcW w:w="1263" w:type="dxa"/>
            <w:vAlign w:val="center"/>
          </w:tcPr>
          <w:p w14:paraId="3423EB10">
            <w:pPr>
              <w:widowControl/>
              <w:jc w:val="cente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1980" w:type="dxa"/>
            <w:vAlign w:val="center"/>
          </w:tcPr>
          <w:p w14:paraId="07F02990">
            <w:pPr>
              <w:widowControl/>
              <w:jc w:val="cente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575" w:type="dxa"/>
            <w:vAlign w:val="center"/>
          </w:tcPr>
          <w:p w14:paraId="665B2F4C">
            <w:pPr>
              <w:widowControl/>
              <w:jc w:val="cente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2FA5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861" w:type="dxa"/>
            <w:vAlign w:val="center"/>
          </w:tcPr>
          <w:p w14:paraId="7871FE5A">
            <w:pPr>
              <w:rPr>
                <w:rFonts w:ascii="仿宋" w:hAnsi="仿宋" w:eastAsia="仿宋"/>
                <w:color w:val="000000" w:themeColor="text1"/>
                <w:sz w:val="22"/>
                <w:szCs w:val="22"/>
                <w:highlight w:val="none"/>
                <w14:textFill>
                  <w14:solidFill>
                    <w14:schemeClr w14:val="tx1"/>
                  </w14:solidFill>
                </w14:textFill>
              </w:rPr>
            </w:pPr>
            <w:r>
              <w:rPr>
                <w:rFonts w:ascii="仿宋" w:hAnsi="仿宋" w:eastAsia="仿宋"/>
                <w:color w:val="000000" w:themeColor="text1"/>
                <w:sz w:val="22"/>
                <w:szCs w:val="22"/>
                <w:highlight w:val="none"/>
                <w14:textFill>
                  <w14:solidFill>
                    <w14:schemeClr w14:val="tx1"/>
                  </w14:solidFill>
                </w14:textFill>
              </w:rPr>
              <w:t>调度运维改造劳务服务项目</w:t>
            </w:r>
          </w:p>
        </w:tc>
        <w:tc>
          <w:tcPr>
            <w:tcW w:w="3242" w:type="dxa"/>
          </w:tcPr>
          <w:p w14:paraId="2B6465AE">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完成德州、烟台地区新一代调度技术支持系统及配套辅助设施设备完成硬件上架、安装，系统、软件部署，安全防护软件搭建。网络通信搭建、各类光纤、铜缆、电源线敷设布设、线缆跳线施工、标识标签制作、机房防火封堵、设备移位搬迁、线路梳理规整、设备除尘养护、备品备件更换、设备运行状态实时监测等劳务服务。</w:t>
            </w:r>
          </w:p>
        </w:tc>
        <w:tc>
          <w:tcPr>
            <w:tcW w:w="915" w:type="dxa"/>
            <w:vAlign w:val="center"/>
          </w:tcPr>
          <w:p w14:paraId="59A4EC75">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2200</w:t>
            </w:r>
          </w:p>
        </w:tc>
        <w:tc>
          <w:tcPr>
            <w:tcW w:w="905" w:type="dxa"/>
            <w:vAlign w:val="center"/>
          </w:tcPr>
          <w:p w14:paraId="7B70AD13">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人天</w:t>
            </w:r>
          </w:p>
        </w:tc>
        <w:tc>
          <w:tcPr>
            <w:tcW w:w="836" w:type="dxa"/>
            <w:vAlign w:val="center"/>
          </w:tcPr>
          <w:p w14:paraId="10C719B1">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1年</w:t>
            </w:r>
          </w:p>
        </w:tc>
        <w:tc>
          <w:tcPr>
            <w:tcW w:w="1018" w:type="dxa"/>
            <w:vAlign w:val="center"/>
          </w:tcPr>
          <w:p w14:paraId="6B2CE022">
            <w:pPr>
              <w:ind w:firstLine="42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w:t>
            </w:r>
          </w:p>
        </w:tc>
        <w:tc>
          <w:tcPr>
            <w:tcW w:w="1263" w:type="dxa"/>
            <w:vAlign w:val="center"/>
          </w:tcPr>
          <w:p w14:paraId="58BA5D91">
            <w:pPr>
              <w:ind w:firstLine="420"/>
              <w:rPr>
                <w:rFonts w:hint="eastAsia" w:ascii="仿宋" w:hAnsi="仿宋" w:eastAsia="仿宋"/>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kern w:val="0"/>
                <w:sz w:val="22"/>
                <w:szCs w:val="22"/>
                <w:highlight w:val="none"/>
              </w:rPr>
              <w:t>服务商</w:t>
            </w:r>
          </w:p>
        </w:tc>
        <w:tc>
          <w:tcPr>
            <w:tcW w:w="1980" w:type="dxa"/>
            <w:vAlign w:val="center"/>
          </w:tcPr>
          <w:p w14:paraId="15698489">
            <w:pPr>
              <w:ind w:firstLine="420"/>
              <w:rPr>
                <w:rFonts w:hint="eastAsia" w:ascii="仿宋" w:hAnsi="仿宋" w:eastAsia="仿宋"/>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olor w:val="000000" w:themeColor="text1"/>
                <w:sz w:val="22"/>
                <w:szCs w:val="22"/>
                <w:highlight w:val="none"/>
                <w14:textFill>
                  <w14:solidFill>
                    <w14:schemeClr w14:val="tx1"/>
                  </w14:solidFill>
                </w14:textFill>
              </w:rPr>
              <w:t>2023年1月1日至招标采购公告发布日内，具有电力劳务服务项目不少于1份。（时间以合同签订日期为准，须提供用户合同封面、金额页、合同签字盖章页复印件、证明合同内容的合同页、发票复印件、发票查验结果截图）</w:t>
            </w:r>
          </w:p>
        </w:tc>
        <w:tc>
          <w:tcPr>
            <w:tcW w:w="1575" w:type="dxa"/>
            <w:vAlign w:val="center"/>
          </w:tcPr>
          <w:p w14:paraId="4B1A9E5A">
            <w:pPr>
              <w:ind w:firstLine="420"/>
              <w:rPr>
                <w:rFonts w:hint="default" w:ascii="仿宋" w:hAnsi="仿宋" w:eastAsia="仿宋"/>
                <w:color w:val="000000" w:themeColor="text1"/>
                <w:sz w:val="22"/>
                <w:szCs w:val="22"/>
                <w:highlight w:val="none"/>
                <w:lang w:val="en-US" w:eastAsia="zh-CN"/>
                <w14:textFill>
                  <w14:solidFill>
                    <w14:schemeClr w14:val="tx1"/>
                  </w14:solidFill>
                </w14:textFill>
              </w:rPr>
            </w:pPr>
            <w:r>
              <w:rPr>
                <w:rFonts w:hint="eastAsia" w:ascii="仿宋" w:hAnsi="仿宋" w:eastAsia="仿宋"/>
                <w:color w:val="000000" w:themeColor="text1"/>
                <w:sz w:val="22"/>
                <w:szCs w:val="22"/>
                <w:highlight w:val="none"/>
                <w:lang w:val="en-US" w:eastAsia="zh-CN"/>
                <w14:textFill>
                  <w14:solidFill>
                    <w14:schemeClr w14:val="tx1"/>
                  </w14:solidFill>
                </w14:textFill>
              </w:rPr>
              <w:t>1.7</w:t>
            </w:r>
          </w:p>
        </w:tc>
      </w:tr>
    </w:tbl>
    <w:p w14:paraId="50211BF7">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330CB40D">
      <w:pPr>
        <w:widowControl/>
        <w:ind w:firstLine="440" w:firstLineChars="200"/>
        <w:jc w:val="left"/>
        <w:rPr>
          <w:rFonts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5209C165">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903E38D">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FE6B734">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58E95717">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CB94040">
      <w:pPr>
        <w:rPr>
          <w:rFonts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cs="仿宋"/>
          <w:b/>
          <w:bCs/>
          <w:color w:val="000000" w:themeColor="text1"/>
          <w:sz w:val="22"/>
          <w:szCs w:val="22"/>
          <w:highlight w:val="none"/>
          <w14:textFill>
            <w14:solidFill>
              <w14:schemeClr w14:val="tx1"/>
            </w14:solidFill>
          </w14:textFill>
        </w:rPr>
        <w:t>。</w:t>
      </w:r>
    </w:p>
    <w:p w14:paraId="60593C10">
      <w:pPr>
        <w:rPr>
          <w:rFonts w:ascii="仿宋" w:hAnsi="仿宋" w:eastAsia="仿宋" w:cs="仿宋"/>
          <w:color w:val="000000" w:themeColor="text1"/>
          <w:sz w:val="22"/>
          <w:szCs w:val="22"/>
          <w:highlight w:val="none"/>
          <w14:textFill>
            <w14:solidFill>
              <w14:schemeClr w14:val="tx1"/>
            </w14:solidFill>
          </w14:textFill>
        </w:rPr>
        <w:sectPr>
          <w:footerReference r:id="rId3" w:type="default"/>
          <w:pgSz w:w="16838" w:h="11906" w:orient="landscape"/>
          <w:pgMar w:top="1800" w:right="1440" w:bottom="1800" w:left="1440" w:header="851" w:footer="992" w:gutter="0"/>
          <w:cols w:space="425" w:num="1"/>
          <w:docGrid w:type="lines" w:linePitch="312" w:charSpace="0"/>
        </w:sectPr>
      </w:pPr>
    </w:p>
    <w:p w14:paraId="3EB534E8">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分标二：车网互动数字孪生可视化监控技术服务项目</w:t>
      </w:r>
    </w:p>
    <w:p w14:paraId="192175A0">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分标编号：CY0626SFWP57FZ02</w:t>
      </w:r>
    </w:p>
    <w:tbl>
      <w:tblPr>
        <w:tblStyle w:val="9"/>
        <w:tblW w:w="14151"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263"/>
        <w:gridCol w:w="675"/>
        <w:gridCol w:w="778"/>
        <w:gridCol w:w="905"/>
        <w:gridCol w:w="961"/>
        <w:gridCol w:w="1860"/>
        <w:gridCol w:w="2490"/>
        <w:gridCol w:w="1035"/>
      </w:tblGrid>
      <w:tr w14:paraId="5B61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84" w:type="dxa"/>
            <w:vAlign w:val="center"/>
          </w:tcPr>
          <w:p w14:paraId="7BF7CD72">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4263" w:type="dxa"/>
            <w:vAlign w:val="center"/>
          </w:tcPr>
          <w:p w14:paraId="6C917F41">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675" w:type="dxa"/>
            <w:vAlign w:val="center"/>
          </w:tcPr>
          <w:p w14:paraId="24CBCFB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778" w:type="dxa"/>
            <w:vAlign w:val="center"/>
          </w:tcPr>
          <w:p w14:paraId="39ED2129">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905" w:type="dxa"/>
            <w:vAlign w:val="center"/>
          </w:tcPr>
          <w:p w14:paraId="591DEEC5">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961" w:type="dxa"/>
            <w:vAlign w:val="center"/>
          </w:tcPr>
          <w:p w14:paraId="6C5DE35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1860" w:type="dxa"/>
            <w:vAlign w:val="center"/>
          </w:tcPr>
          <w:p w14:paraId="4A3A5E34">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2490" w:type="dxa"/>
            <w:vAlign w:val="center"/>
          </w:tcPr>
          <w:p w14:paraId="2110505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035" w:type="dxa"/>
            <w:vAlign w:val="center"/>
          </w:tcPr>
          <w:p w14:paraId="6472807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4F94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184" w:type="dxa"/>
            <w:vAlign w:val="center"/>
          </w:tcPr>
          <w:p w14:paraId="11CFD332">
            <w:pPr>
              <w:widowControl/>
              <w:jc w:val="left"/>
              <w:rPr>
                <w:rFonts w:ascii="仿宋" w:hAnsi="仿宋" w:eastAsia="仿宋" w:cs="Arial"/>
                <w:bCs/>
                <w:color w:val="000000" w:themeColor="text1"/>
                <w:kern w:val="0"/>
                <w:sz w:val="22"/>
                <w:szCs w:val="22"/>
                <w:highlight w:val="none"/>
                <w14:textFill>
                  <w14:solidFill>
                    <w14:schemeClr w14:val="tx1"/>
                  </w14:solidFill>
                </w14:textFill>
              </w:rPr>
            </w:pPr>
            <w:bookmarkStart w:id="0" w:name="_Hlk228309792"/>
            <w:r>
              <w:rPr>
                <w:rFonts w:hint="eastAsia" w:ascii="仿宋" w:hAnsi="仿宋" w:eastAsia="仿宋" w:cs="Arial"/>
                <w:bCs/>
                <w:color w:val="000000" w:themeColor="text1"/>
                <w:kern w:val="0"/>
                <w:sz w:val="22"/>
                <w:szCs w:val="22"/>
                <w:highlight w:val="none"/>
                <w14:textFill>
                  <w14:solidFill>
                    <w14:schemeClr w14:val="tx1"/>
                  </w14:solidFill>
                </w14:textFill>
              </w:rPr>
              <w:t>车网互动数字孪生可视化监控技术服务项目</w:t>
            </w:r>
            <w:bookmarkEnd w:id="0"/>
          </w:p>
        </w:tc>
        <w:tc>
          <w:tcPr>
            <w:tcW w:w="4263" w:type="dxa"/>
            <w:vAlign w:val="center"/>
          </w:tcPr>
          <w:p w14:paraId="6CE5EC58">
            <w:pPr>
              <w:widowControl/>
              <w:jc w:val="left"/>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依托三维建模搭建光储充换电站数字孪生平台，统筹完成多板块可视化组态、全量数据对接及现场部署调试，集成设备监测、负荷预测、调控策略推演、V2G/V2V 场景仿真与全站安防联动能力，实现场站多能协同、车网互动全流程数字化、可视化智能管控。</w:t>
            </w:r>
          </w:p>
        </w:tc>
        <w:tc>
          <w:tcPr>
            <w:tcW w:w="675" w:type="dxa"/>
            <w:vAlign w:val="center"/>
          </w:tcPr>
          <w:p w14:paraId="4BA8DB3D">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778" w:type="dxa"/>
            <w:vAlign w:val="center"/>
          </w:tcPr>
          <w:p w14:paraId="27EF82F6">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项</w:t>
            </w:r>
          </w:p>
        </w:tc>
        <w:tc>
          <w:tcPr>
            <w:tcW w:w="905" w:type="dxa"/>
            <w:vAlign w:val="center"/>
          </w:tcPr>
          <w:p w14:paraId="2A7FDC01">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合同签订后2个月</w:t>
            </w:r>
          </w:p>
        </w:tc>
        <w:tc>
          <w:tcPr>
            <w:tcW w:w="961" w:type="dxa"/>
            <w:vAlign w:val="center"/>
          </w:tcPr>
          <w:p w14:paraId="0627D487">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2年</w:t>
            </w:r>
          </w:p>
        </w:tc>
        <w:tc>
          <w:tcPr>
            <w:tcW w:w="1860" w:type="dxa"/>
            <w:vAlign w:val="center"/>
          </w:tcPr>
          <w:p w14:paraId="5D32FD2D">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备注</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kern w:val="0"/>
                <w:sz w:val="22"/>
                <w:szCs w:val="22"/>
                <w:highlight w:val="none"/>
              </w:rPr>
              <w:t>应答</w:t>
            </w:r>
            <w:r>
              <w:rPr>
                <w:rFonts w:hint="eastAsia" w:ascii="仿宋" w:hAnsi="仿宋" w:eastAsia="仿宋" w:cs="宋体"/>
                <w:kern w:val="0"/>
                <w:sz w:val="22"/>
                <w:szCs w:val="22"/>
                <w:highlight w:val="none"/>
              </w:rPr>
              <w:t>人需提供不少于5人的实施人员团队，</w:t>
            </w:r>
            <w:r>
              <w:rPr>
                <w:rFonts w:hint="eastAsia" w:ascii="仿宋" w:hAnsi="仿宋" w:eastAsia="仿宋" w:cs="宋体"/>
                <w:color w:val="000000" w:themeColor="text1"/>
                <w:kern w:val="0"/>
                <w:sz w:val="22"/>
                <w:szCs w:val="22"/>
                <w:highlight w:val="none"/>
                <w14:textFill>
                  <w14:solidFill>
                    <w14:schemeClr w14:val="tx1"/>
                  </w14:solidFill>
                </w14:textFill>
              </w:rPr>
              <w:t>提供劳动合同及自投标文件递交截止日前近三个月在本单位的社保缴纳证明。</w:t>
            </w:r>
          </w:p>
        </w:tc>
        <w:tc>
          <w:tcPr>
            <w:tcW w:w="2490" w:type="dxa"/>
            <w:vAlign w:val="center"/>
          </w:tcPr>
          <w:p w14:paraId="01E987C5">
            <w:pPr>
              <w:widowControl/>
              <w:jc w:val="center"/>
              <w:rPr>
                <w:rFonts w:hint="eastAsia" w:ascii="仿宋" w:hAnsi="仿宋" w:eastAsia="仿宋" w:cs="Arial"/>
                <w:bCs/>
                <w:color w:val="000000" w:themeColor="text1"/>
                <w:kern w:val="0"/>
                <w:sz w:val="22"/>
                <w:szCs w:val="22"/>
                <w:highlight w:val="none"/>
                <w:lang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bookmarkStart w:id="1" w:name="OLE_LINK25"/>
            <w:r>
              <w:rPr>
                <w:rFonts w:hint="eastAsia" w:ascii="仿宋" w:hAnsi="仿宋" w:eastAsia="仿宋" w:cs="宋体"/>
                <w:kern w:val="0"/>
                <w:sz w:val="22"/>
                <w:szCs w:val="22"/>
                <w:highlight w:val="none"/>
              </w:rPr>
              <w:t>2023年1月1日至招标公告发布日内，具有软件开发或软件实施合同不少于3份。</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000000" w:themeColor="text1"/>
                <w:kern w:val="0"/>
                <w:sz w:val="22"/>
                <w:szCs w:val="22"/>
                <w:highlight w:val="none"/>
                <w14:textFill>
                  <w14:solidFill>
                    <w14:schemeClr w14:val="tx1"/>
                  </w14:solidFill>
                </w14:textFill>
              </w:rPr>
              <w:t>。</w:t>
            </w:r>
            <w:bookmarkEnd w:id="1"/>
          </w:p>
        </w:tc>
        <w:tc>
          <w:tcPr>
            <w:tcW w:w="1035" w:type="dxa"/>
            <w:vAlign w:val="center"/>
          </w:tcPr>
          <w:p w14:paraId="4F1B357B">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1.1</w:t>
            </w:r>
          </w:p>
        </w:tc>
      </w:tr>
    </w:tbl>
    <w:p w14:paraId="4470B041">
      <w:pPr>
        <w:widowControl/>
        <w:ind w:firstLine="440" w:firstLineChars="200"/>
        <w:jc w:val="left"/>
        <w:rPr>
          <w:highlight w:val="none"/>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5D6ADD5A">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备注：</w:t>
      </w:r>
    </w:p>
    <w:p w14:paraId="67BAA288">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DFA1744">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2.投标文件中提供的证明材料复印件应复印清晰、可辨认且不得遮盖、涂抹，否则视为无效。</w:t>
      </w:r>
    </w:p>
    <w:p w14:paraId="7E5B8010">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r>
        <w:rPr>
          <w:rFonts w:ascii="仿宋" w:hAnsi="仿宋" w:eastAsia="仿宋"/>
          <w:color w:val="000000" w:themeColor="text1"/>
          <w:sz w:val="24"/>
          <w:szCs w:val="24"/>
          <w:highlight w:val="none"/>
          <w14:textFill>
            <w14:solidFill>
              <w14:schemeClr w14:val="tx1"/>
            </w14:solidFill>
          </w14:textFill>
        </w:rPr>
        <w:t>.</w:t>
      </w:r>
      <w:bookmarkStart w:id="2" w:name="_Hlk146008196"/>
      <w:r>
        <w:rPr>
          <w:rFonts w:hint="eastAsia" w:ascii="仿宋" w:hAnsi="仿宋" w:eastAsia="仿宋"/>
          <w:b/>
          <w:bCs/>
          <w:sz w:val="24"/>
          <w:szCs w:val="24"/>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4"/>
          <w:szCs w:val="24"/>
          <w:highlight w:val="none"/>
        </w:rPr>
        <w:t>以合同签订时间为准</w:t>
      </w:r>
      <w:r>
        <w:rPr>
          <w:rFonts w:hint="eastAsia" w:ascii="仿宋" w:hAnsi="仿宋" w:eastAsia="仿宋"/>
          <w:b/>
          <w:bCs/>
          <w:sz w:val="24"/>
          <w:szCs w:val="24"/>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4"/>
          <w:szCs w:val="24"/>
          <w:highlight w:val="none"/>
        </w:rPr>
        <w:t>不得晚于</w:t>
      </w:r>
      <w:r>
        <w:rPr>
          <w:rFonts w:hint="eastAsia" w:ascii="仿宋" w:hAnsi="仿宋" w:eastAsia="仿宋"/>
          <w:b/>
          <w:bCs/>
          <w:sz w:val="24"/>
          <w:szCs w:val="24"/>
          <w:highlight w:val="none"/>
        </w:rPr>
        <w:t>采购公告发布时间。未提供发票或未提供对应发票查验结果截图的或发票开标日期</w:t>
      </w:r>
      <w:r>
        <w:rPr>
          <w:rFonts w:hint="eastAsia" w:ascii="仿宋" w:hAnsi="仿宋" w:eastAsia="仿宋"/>
          <w:b/>
          <w:bCs/>
          <w:color w:val="000000" w:themeColor="text1"/>
          <w:sz w:val="24"/>
          <w:szCs w:val="24"/>
          <w:highlight w:val="none"/>
          <w14:textFill>
            <w14:solidFill>
              <w14:schemeClr w14:val="tx1"/>
            </w14:solidFill>
          </w14:textFill>
        </w:rPr>
        <w:t>晚于</w:t>
      </w:r>
      <w:r>
        <w:rPr>
          <w:rFonts w:hint="eastAsia" w:ascii="仿宋" w:hAnsi="仿宋" w:eastAsia="仿宋"/>
          <w:b/>
          <w:bCs/>
          <w:sz w:val="24"/>
          <w:szCs w:val="24"/>
          <w:highlight w:val="none"/>
        </w:rPr>
        <w:t>采购公告发布时间的业绩不予认可。所有业绩支撑证明材料内容须保证清晰、可辨认且不得遮盖、涂抹。</w:t>
      </w:r>
      <w:bookmarkEnd w:id="2"/>
    </w:p>
    <w:p w14:paraId="174CE977">
      <w:pPr>
        <w:rPr>
          <w:rFonts w:ascii="仿宋" w:hAnsi="仿宋" w:eastAsia="仿宋"/>
          <w:color w:val="000000" w:themeColor="text1"/>
          <w:sz w:val="24"/>
          <w:szCs w:val="24"/>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50A70E99">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分标三：车网互动站级能量管理系统技术服务项目</w:t>
      </w:r>
    </w:p>
    <w:p w14:paraId="25646954">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分标编号：CY0626SFWP57FZ03</w:t>
      </w:r>
    </w:p>
    <w:tbl>
      <w:tblPr>
        <w:tblStyle w:val="9"/>
        <w:tblW w:w="14226"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263"/>
        <w:gridCol w:w="675"/>
        <w:gridCol w:w="778"/>
        <w:gridCol w:w="905"/>
        <w:gridCol w:w="961"/>
        <w:gridCol w:w="1965"/>
        <w:gridCol w:w="1845"/>
        <w:gridCol w:w="1650"/>
      </w:tblGrid>
      <w:tr w14:paraId="64A9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84" w:type="dxa"/>
            <w:vAlign w:val="center"/>
          </w:tcPr>
          <w:p w14:paraId="3FD3DE5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4263" w:type="dxa"/>
            <w:vAlign w:val="center"/>
          </w:tcPr>
          <w:p w14:paraId="3E0648D0">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675" w:type="dxa"/>
            <w:vAlign w:val="center"/>
          </w:tcPr>
          <w:p w14:paraId="122421CA">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778" w:type="dxa"/>
            <w:vAlign w:val="center"/>
          </w:tcPr>
          <w:p w14:paraId="0F310E23">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905" w:type="dxa"/>
            <w:vAlign w:val="center"/>
          </w:tcPr>
          <w:p w14:paraId="67F820B1">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961" w:type="dxa"/>
            <w:vAlign w:val="center"/>
          </w:tcPr>
          <w:p w14:paraId="350B072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1965" w:type="dxa"/>
            <w:vAlign w:val="center"/>
          </w:tcPr>
          <w:p w14:paraId="3914D1E8">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1845" w:type="dxa"/>
            <w:vAlign w:val="center"/>
          </w:tcPr>
          <w:p w14:paraId="1E06A75E">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650" w:type="dxa"/>
            <w:vAlign w:val="center"/>
          </w:tcPr>
          <w:p w14:paraId="3BB71312">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7EC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184" w:type="dxa"/>
            <w:vAlign w:val="center"/>
          </w:tcPr>
          <w:p w14:paraId="67491EDC">
            <w:pPr>
              <w:widowControl/>
              <w:jc w:val="left"/>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车网互动站级能量管理系统技术服务项目</w:t>
            </w:r>
          </w:p>
        </w:tc>
        <w:tc>
          <w:tcPr>
            <w:tcW w:w="4263" w:type="dxa"/>
            <w:vAlign w:val="center"/>
          </w:tcPr>
          <w:p w14:paraId="7B31CF5D">
            <w:pPr>
              <w:widowControl/>
              <w:jc w:val="left"/>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依托多维识别算法，实时监测设备运行状态与车位情况，主动识别充电异常并预警潜在故障，为运维提供全景信息视图。同时，系统结合用户习惯与实时数据，提供最优路线引导与个性化充电方案推荐，实现充电行为的智慧引导。站内智能体根据大数据模型算法，生成分布式光伏出力预测和各用电设备的负荷预测结果，并基于调控目标策略和安全用电约束，生成可调负荷和可调能源的调控策略。</w:t>
            </w:r>
          </w:p>
        </w:tc>
        <w:tc>
          <w:tcPr>
            <w:tcW w:w="675" w:type="dxa"/>
            <w:vAlign w:val="center"/>
          </w:tcPr>
          <w:p w14:paraId="40ED13C7">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778" w:type="dxa"/>
            <w:vAlign w:val="center"/>
          </w:tcPr>
          <w:p w14:paraId="621C8FD5">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项</w:t>
            </w:r>
          </w:p>
        </w:tc>
        <w:tc>
          <w:tcPr>
            <w:tcW w:w="905" w:type="dxa"/>
            <w:vAlign w:val="center"/>
          </w:tcPr>
          <w:p w14:paraId="7CC6D6B6">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合同签订后2个月</w:t>
            </w:r>
          </w:p>
        </w:tc>
        <w:tc>
          <w:tcPr>
            <w:tcW w:w="961" w:type="dxa"/>
            <w:vAlign w:val="center"/>
          </w:tcPr>
          <w:p w14:paraId="7327F961">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2年</w:t>
            </w:r>
          </w:p>
        </w:tc>
        <w:tc>
          <w:tcPr>
            <w:tcW w:w="1965" w:type="dxa"/>
            <w:vAlign w:val="center"/>
          </w:tcPr>
          <w:p w14:paraId="157B97E0">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备注</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bookmarkStart w:id="3" w:name="OLE_LINK22"/>
            <w:r>
              <w:rPr>
                <w:rFonts w:hint="eastAsia" w:ascii="仿宋" w:hAnsi="仿宋" w:eastAsia="仿宋" w:cs="宋体"/>
                <w:color w:val="000000"/>
                <w:kern w:val="0"/>
                <w:sz w:val="22"/>
                <w:szCs w:val="22"/>
                <w:highlight w:val="none"/>
              </w:rPr>
              <w:t>应答</w:t>
            </w:r>
            <w:r>
              <w:rPr>
                <w:rFonts w:hint="eastAsia" w:ascii="仿宋" w:hAnsi="仿宋" w:eastAsia="仿宋" w:cs="宋体"/>
                <w:kern w:val="0"/>
                <w:sz w:val="22"/>
                <w:szCs w:val="22"/>
                <w:highlight w:val="none"/>
              </w:rPr>
              <w:t>人需提供不少于5人的实施人员团队，</w:t>
            </w:r>
            <w:r>
              <w:rPr>
                <w:rFonts w:hint="eastAsia" w:ascii="仿宋" w:hAnsi="仿宋" w:eastAsia="仿宋" w:cs="宋体"/>
                <w:color w:val="000000" w:themeColor="text1"/>
                <w:kern w:val="0"/>
                <w:sz w:val="22"/>
                <w:szCs w:val="22"/>
                <w:highlight w:val="none"/>
                <w14:textFill>
                  <w14:solidFill>
                    <w14:schemeClr w14:val="tx1"/>
                  </w14:solidFill>
                </w14:textFill>
              </w:rPr>
              <w:t>提供劳动合同及自投标文件递交截止日前近三个月在本单位的社保缴纳证明。</w:t>
            </w:r>
            <w:bookmarkEnd w:id="3"/>
          </w:p>
        </w:tc>
        <w:tc>
          <w:tcPr>
            <w:tcW w:w="1845" w:type="dxa"/>
            <w:vAlign w:val="center"/>
          </w:tcPr>
          <w:p w14:paraId="348CF69F">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bookmarkStart w:id="4" w:name="OLE_LINK23"/>
            <w:r>
              <w:rPr>
                <w:rFonts w:hint="eastAsia" w:ascii="仿宋" w:hAnsi="仿宋" w:eastAsia="仿宋" w:cs="宋体"/>
                <w:kern w:val="0"/>
                <w:sz w:val="22"/>
                <w:szCs w:val="22"/>
                <w:highlight w:val="none"/>
              </w:rPr>
              <w:t>2023年1月1日至招标公告发布日内，具有软件开发或软件实施合同不少于3份。</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000000" w:themeColor="text1"/>
                <w:kern w:val="0"/>
                <w:sz w:val="22"/>
                <w:szCs w:val="22"/>
                <w:highlight w:val="none"/>
                <w14:textFill>
                  <w14:solidFill>
                    <w14:schemeClr w14:val="tx1"/>
                  </w14:solidFill>
                </w14:textFill>
              </w:rPr>
              <w:t>。</w:t>
            </w:r>
            <w:bookmarkEnd w:id="4"/>
          </w:p>
        </w:tc>
        <w:tc>
          <w:tcPr>
            <w:tcW w:w="1650" w:type="dxa"/>
            <w:vAlign w:val="center"/>
          </w:tcPr>
          <w:p w14:paraId="1C72398E">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1.7</w:t>
            </w:r>
          </w:p>
        </w:tc>
      </w:tr>
    </w:tbl>
    <w:p w14:paraId="3A78F72B">
      <w:pPr>
        <w:widowControl/>
        <w:ind w:firstLine="440" w:firstLineChars="200"/>
        <w:jc w:val="left"/>
        <w:rPr>
          <w:highlight w:val="none"/>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4A4FFB74">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B1897F2">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35FC5866">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11B1836D">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3C1B3911">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4CC1E0C0">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备注：</w:t>
      </w:r>
    </w:p>
    <w:p w14:paraId="44D81312">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06073E7">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2.投标文件中提供的证明材料复印件应复印清晰、可辨认且不得遮盖、涂抹，否则视为无效。</w:t>
      </w:r>
    </w:p>
    <w:p w14:paraId="7F4B4100">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3</w:t>
      </w:r>
      <w:r>
        <w:rPr>
          <w:rFonts w:ascii="仿宋" w:hAnsi="仿宋" w:eastAsia="仿宋"/>
          <w:color w:val="000000" w:themeColor="text1"/>
          <w:sz w:val="22"/>
          <w:szCs w:val="22"/>
          <w:highlight w:val="none"/>
          <w14:textFill>
            <w14:solidFill>
              <w14:schemeClr w14:val="tx1"/>
            </w14:solidFill>
          </w14:textFill>
        </w:rPr>
        <w:t>.</w:t>
      </w:r>
      <w:r>
        <w:rPr>
          <w:rFonts w:hint="eastAsia" w:ascii="仿宋" w:hAnsi="仿宋" w:eastAsia="仿宋"/>
          <w:b/>
          <w:bCs/>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2"/>
          <w:szCs w:val="22"/>
          <w:highlight w:val="none"/>
        </w:rPr>
        <w:t>以合同签订时间为准</w:t>
      </w:r>
      <w:r>
        <w:rPr>
          <w:rFonts w:hint="eastAsia" w:ascii="仿宋" w:hAnsi="仿宋" w:eastAsia="仿宋"/>
          <w:b/>
          <w:bCs/>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2"/>
          <w:szCs w:val="22"/>
          <w:highlight w:val="none"/>
        </w:rPr>
        <w:t>不得晚于</w:t>
      </w:r>
      <w:r>
        <w:rPr>
          <w:rFonts w:hint="eastAsia" w:ascii="仿宋" w:hAnsi="仿宋" w:eastAsia="仿宋"/>
          <w:b/>
          <w:bCs/>
          <w:sz w:val="22"/>
          <w:szCs w:val="22"/>
          <w:highlight w:val="none"/>
        </w:rPr>
        <w:t>采购公告发布时间。未提供发票或未提供对应发票查验结果截图的或发票开标日期</w:t>
      </w:r>
      <w:r>
        <w:rPr>
          <w:rFonts w:hint="eastAsia" w:ascii="仿宋" w:hAnsi="仿宋" w:eastAsia="仿宋"/>
          <w:b/>
          <w:bCs/>
          <w:color w:val="000000" w:themeColor="text1"/>
          <w:sz w:val="22"/>
          <w:szCs w:val="22"/>
          <w:highlight w:val="none"/>
          <w14:textFill>
            <w14:solidFill>
              <w14:schemeClr w14:val="tx1"/>
            </w14:solidFill>
          </w14:textFill>
        </w:rPr>
        <w:t>晚于</w:t>
      </w:r>
      <w:r>
        <w:rPr>
          <w:rFonts w:hint="eastAsia" w:ascii="仿宋" w:hAnsi="仿宋" w:eastAsia="仿宋"/>
          <w:b/>
          <w:bCs/>
          <w:sz w:val="22"/>
          <w:szCs w:val="22"/>
          <w:highlight w:val="none"/>
        </w:rPr>
        <w:t>采购公告发布时间的业绩不予认可。所有业绩支撑证明材料内容须保证清晰、可辨认且不得遮盖、涂抹。</w:t>
      </w:r>
    </w:p>
    <w:p w14:paraId="0509A646">
      <w:pPr>
        <w:rPr>
          <w:rFonts w:ascii="仿宋" w:hAnsi="仿宋" w:eastAsia="仿宋"/>
          <w:color w:val="000000" w:themeColor="text1"/>
          <w:sz w:val="22"/>
          <w:szCs w:val="22"/>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739FE17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分标四：负荷监测系统整合及功能测试技术服务采购项目</w:t>
      </w:r>
    </w:p>
    <w:p w14:paraId="5A79B889">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分标编号：CY0626SFWP57FZ04</w:t>
      </w:r>
    </w:p>
    <w:tbl>
      <w:tblPr>
        <w:tblStyle w:val="9"/>
        <w:tblW w:w="5177"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246"/>
        <w:gridCol w:w="3487"/>
        <w:gridCol w:w="505"/>
        <w:gridCol w:w="447"/>
        <w:gridCol w:w="790"/>
        <w:gridCol w:w="1019"/>
        <w:gridCol w:w="2741"/>
        <w:gridCol w:w="2100"/>
        <w:gridCol w:w="1454"/>
      </w:tblGrid>
      <w:tr w14:paraId="39E4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02" w:type="pct"/>
            <w:vAlign w:val="center"/>
          </w:tcPr>
          <w:p w14:paraId="5087FE4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424" w:type="pct"/>
            <w:vAlign w:val="center"/>
          </w:tcPr>
          <w:p w14:paraId="6FA8275E">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服务名称</w:t>
            </w:r>
          </w:p>
        </w:tc>
        <w:tc>
          <w:tcPr>
            <w:tcW w:w="1187" w:type="pct"/>
            <w:vAlign w:val="center"/>
          </w:tcPr>
          <w:p w14:paraId="0C3401A2">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172" w:type="pct"/>
            <w:vAlign w:val="center"/>
          </w:tcPr>
          <w:p w14:paraId="422F4AAA">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152" w:type="pct"/>
            <w:vAlign w:val="center"/>
          </w:tcPr>
          <w:p w14:paraId="2B50390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269" w:type="pct"/>
            <w:vAlign w:val="center"/>
          </w:tcPr>
          <w:p w14:paraId="3FA93A4E">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347" w:type="pct"/>
            <w:vAlign w:val="center"/>
          </w:tcPr>
          <w:p w14:paraId="5A2E9DF9">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933" w:type="pct"/>
            <w:vAlign w:val="center"/>
          </w:tcPr>
          <w:p w14:paraId="32238117">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715" w:type="pct"/>
            <w:vAlign w:val="center"/>
          </w:tcPr>
          <w:p w14:paraId="416EC6EE">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495" w:type="pct"/>
            <w:vAlign w:val="center"/>
          </w:tcPr>
          <w:p w14:paraId="56870D23">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098F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302" w:type="pct"/>
            <w:vMerge w:val="restart"/>
            <w:vAlign w:val="center"/>
          </w:tcPr>
          <w:p w14:paraId="4AE75295">
            <w:pPr>
              <w:widowControl/>
              <w:jc w:val="center"/>
              <w:rPr>
                <w:rFonts w:ascii="仿宋" w:hAnsi="仿宋" w:eastAsia="仿宋" w:cs="Arial"/>
                <w:bCs/>
                <w:kern w:val="0"/>
                <w:sz w:val="22"/>
                <w:szCs w:val="22"/>
                <w:highlight w:val="none"/>
              </w:rPr>
            </w:pPr>
            <w:r>
              <w:rPr>
                <w:rFonts w:hint="eastAsia" w:ascii="仿宋" w:hAnsi="仿宋" w:eastAsia="仿宋" w:cs="仿宋"/>
                <w:color w:val="000000" w:themeColor="text1"/>
                <w:sz w:val="22"/>
                <w:szCs w:val="22"/>
                <w:highlight w:val="none"/>
                <w14:textFill>
                  <w14:solidFill>
                    <w14:schemeClr w14:val="tx1"/>
                  </w14:solidFill>
                </w14:textFill>
              </w:rPr>
              <w:t>负荷监测系统整合及功能测试技术服务采购项目</w:t>
            </w:r>
          </w:p>
        </w:tc>
        <w:tc>
          <w:tcPr>
            <w:tcW w:w="424" w:type="pct"/>
            <w:vAlign w:val="center"/>
          </w:tcPr>
          <w:p w14:paraId="608B7C83">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系统功能模块整合</w:t>
            </w:r>
          </w:p>
        </w:tc>
        <w:tc>
          <w:tcPr>
            <w:tcW w:w="1187" w:type="pct"/>
            <w:vAlign w:val="center"/>
          </w:tcPr>
          <w:p w14:paraId="1BBF34A7">
            <w:pPr>
              <w:widowControl/>
              <w:jc w:val="left"/>
              <w:rPr>
                <w:rFonts w:ascii="仿宋" w:hAnsi="仿宋" w:eastAsia="仿宋" w:cs="Arial"/>
                <w:bCs/>
                <w:kern w:val="0"/>
                <w:sz w:val="22"/>
                <w:szCs w:val="22"/>
                <w:highlight w:val="none"/>
              </w:rPr>
            </w:pPr>
            <w:r>
              <w:rPr>
                <w:rFonts w:hint="eastAsia" w:ascii="仿宋" w:hAnsi="仿宋" w:eastAsia="仿宋" w:cs="仿宋"/>
                <w:color w:val="000000" w:themeColor="text1"/>
                <w:sz w:val="22"/>
                <w:szCs w:val="22"/>
                <w:highlight w:val="none"/>
                <w14:textFill>
                  <w14:solidFill>
                    <w14:schemeClr w14:val="tx1"/>
                  </w14:solidFill>
                </w14:textFill>
              </w:rPr>
              <w:t>完成电解水制氢调控特性分析、一致性测试、直流能耗测试、交流能耗测试、产氢测试五大核心功能模块的功能整合、架构归一、系统集成、业务融合全流程建设工作。实现各现有独立业务子系统统一门户入口、通用共享账号、全域数据互通、全链流程贯通、分级权限统管、集中统一运维。</w:t>
            </w:r>
          </w:p>
        </w:tc>
        <w:tc>
          <w:tcPr>
            <w:tcW w:w="172" w:type="pct"/>
            <w:vAlign w:val="center"/>
          </w:tcPr>
          <w:p w14:paraId="746C1B4A">
            <w:pPr>
              <w:widowControl/>
              <w:jc w:val="center"/>
              <w:rPr>
                <w:rFonts w:ascii="仿宋" w:hAnsi="仿宋" w:eastAsia="仿宋" w:cs="Arial"/>
                <w:bCs/>
                <w:kern w:val="0"/>
                <w:sz w:val="22"/>
                <w:szCs w:val="22"/>
                <w:highlight w:val="none"/>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152" w:type="pct"/>
            <w:vAlign w:val="center"/>
          </w:tcPr>
          <w:p w14:paraId="725FDC6B">
            <w:pPr>
              <w:widowControl/>
              <w:adjustRightInd w:val="0"/>
              <w:snapToGrid w:val="0"/>
              <w:jc w:val="center"/>
              <w:rPr>
                <w:rFonts w:ascii="仿宋" w:hAnsi="仿宋" w:eastAsia="仿宋" w:cs="Arial"/>
                <w:bCs/>
                <w:kern w:val="0"/>
                <w:sz w:val="22"/>
                <w:szCs w:val="22"/>
                <w:highlight w:val="none"/>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269" w:type="pct"/>
            <w:vMerge w:val="restart"/>
            <w:vAlign w:val="center"/>
          </w:tcPr>
          <w:p w14:paraId="6297DC7F">
            <w:pPr>
              <w:widowControl/>
              <w:adjustRightInd w:val="0"/>
              <w:snapToGrid w:val="0"/>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合同签订后30日内</w:t>
            </w:r>
          </w:p>
        </w:tc>
        <w:tc>
          <w:tcPr>
            <w:tcW w:w="347" w:type="pct"/>
            <w:vMerge w:val="restart"/>
            <w:vAlign w:val="center"/>
          </w:tcPr>
          <w:p w14:paraId="76F2D611">
            <w:pPr>
              <w:widowControl/>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3年</w:t>
            </w:r>
          </w:p>
        </w:tc>
        <w:tc>
          <w:tcPr>
            <w:tcW w:w="933" w:type="pct"/>
            <w:vMerge w:val="restart"/>
            <w:vAlign w:val="center"/>
          </w:tcPr>
          <w:p w14:paraId="45C8FF8F">
            <w:pPr>
              <w:widowControl/>
              <w:jc w:val="center"/>
              <w:rPr>
                <w:rFonts w:hint="eastAsia" w:ascii="仿宋" w:hAnsi="仿宋" w:eastAsia="仿宋" w:cs="Arial"/>
                <w:bCs/>
                <w:kern w:val="0"/>
                <w:sz w:val="22"/>
                <w:szCs w:val="22"/>
                <w:highlight w:val="none"/>
                <w:lang w:val="en-US" w:eastAsia="zh-CN"/>
              </w:rPr>
            </w:pPr>
            <w:r>
              <w:rPr>
                <w:rFonts w:hint="eastAsia" w:ascii="仿宋" w:hAnsi="仿宋" w:eastAsia="仿宋" w:cs="Arial"/>
                <w:bCs/>
                <w:kern w:val="0"/>
                <w:sz w:val="22"/>
                <w:szCs w:val="22"/>
                <w:highlight w:val="none"/>
                <w:lang w:val="en-US" w:eastAsia="zh-CN"/>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配套人员需求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应答人需提供不少于5人的实施人员团队，提供劳动合同及自投标文件递交截止日前近三个月在本单位的社保缴纳证明。</w:t>
            </w:r>
          </w:p>
        </w:tc>
        <w:tc>
          <w:tcPr>
            <w:tcW w:w="715" w:type="pct"/>
            <w:vMerge w:val="restart"/>
            <w:shd w:val="clear" w:color="auto" w:fill="auto"/>
            <w:vAlign w:val="center"/>
          </w:tcPr>
          <w:p w14:paraId="1A1E7250">
            <w:pPr>
              <w:widowControl/>
              <w:spacing w:line="320" w:lineRule="exact"/>
              <w:jc w:val="center"/>
              <w:rPr>
                <w:rFonts w:hint="eastAsia" w:ascii="仿宋" w:hAnsi="仿宋" w:eastAsia="仿宋" w:cs="宋体"/>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宋体"/>
                <w:kern w:val="0"/>
                <w:sz w:val="22"/>
                <w:szCs w:val="22"/>
                <w:highlight w:val="none"/>
              </w:rPr>
              <w:t>2023年1月1日至招标公告发布日内，具有软件开发或软件实施合同不少于3份。</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000000" w:themeColor="text1"/>
                <w:kern w:val="0"/>
                <w:sz w:val="22"/>
                <w:szCs w:val="22"/>
                <w:highlight w:val="none"/>
                <w14:textFill>
                  <w14:solidFill>
                    <w14:schemeClr w14:val="tx1"/>
                  </w14:solidFill>
                </w14:textFill>
              </w:rPr>
              <w:t>。</w:t>
            </w:r>
          </w:p>
        </w:tc>
        <w:tc>
          <w:tcPr>
            <w:tcW w:w="495" w:type="pct"/>
            <w:vMerge w:val="restart"/>
            <w:vAlign w:val="center"/>
          </w:tcPr>
          <w:p w14:paraId="70DE7A6E">
            <w:pPr>
              <w:widowControl/>
              <w:jc w:val="center"/>
              <w:rPr>
                <w:rFonts w:hint="default" w:ascii="仿宋" w:hAnsi="仿宋" w:eastAsia="仿宋" w:cs="Arial"/>
                <w:bCs/>
                <w:kern w:val="0"/>
                <w:sz w:val="22"/>
                <w:szCs w:val="22"/>
                <w:highlight w:val="none"/>
                <w:lang w:val="en-US" w:eastAsia="zh-CN"/>
              </w:rPr>
            </w:pPr>
            <w:r>
              <w:rPr>
                <w:rFonts w:hint="eastAsia" w:ascii="仿宋" w:hAnsi="仿宋" w:eastAsia="仿宋" w:cs="Arial"/>
                <w:bCs/>
                <w:kern w:val="0"/>
                <w:sz w:val="22"/>
                <w:szCs w:val="22"/>
                <w:highlight w:val="none"/>
                <w:lang w:val="en-US" w:eastAsia="zh-CN"/>
              </w:rPr>
              <w:t>1.5</w:t>
            </w:r>
          </w:p>
        </w:tc>
      </w:tr>
      <w:tr w14:paraId="5A64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02" w:type="pct"/>
            <w:vMerge w:val="continue"/>
            <w:vAlign w:val="center"/>
          </w:tcPr>
          <w:p w14:paraId="003C1929">
            <w:pPr>
              <w:widowControl/>
              <w:jc w:val="center"/>
              <w:rPr>
                <w:rFonts w:ascii="仿宋" w:hAnsi="仿宋" w:eastAsia="仿宋" w:cs="Arial"/>
                <w:bCs/>
                <w:kern w:val="0"/>
                <w:sz w:val="22"/>
                <w:szCs w:val="22"/>
                <w:highlight w:val="none"/>
              </w:rPr>
            </w:pPr>
          </w:p>
        </w:tc>
        <w:tc>
          <w:tcPr>
            <w:tcW w:w="424" w:type="pct"/>
            <w:vAlign w:val="center"/>
          </w:tcPr>
          <w:p w14:paraId="163EE17C">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子系统性能自检</w:t>
            </w:r>
          </w:p>
        </w:tc>
        <w:tc>
          <w:tcPr>
            <w:tcW w:w="1187" w:type="pct"/>
            <w:vAlign w:val="center"/>
          </w:tcPr>
          <w:p w14:paraId="5151FEE0">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完成子系统性能自检，采用标准源、标准气样、校验设备现场逐项实测关键技术参数，量化比对招标规范书指标，确保精度、量程、采样周期、响应时间、同步性、功率及气体检测指标全部达标。</w:t>
            </w:r>
          </w:p>
        </w:tc>
        <w:tc>
          <w:tcPr>
            <w:tcW w:w="172" w:type="pct"/>
            <w:vAlign w:val="center"/>
          </w:tcPr>
          <w:p w14:paraId="2A3DDE2C">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152" w:type="pct"/>
            <w:vAlign w:val="center"/>
          </w:tcPr>
          <w:p w14:paraId="58E41298">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269" w:type="pct"/>
            <w:vMerge w:val="continue"/>
            <w:vAlign w:val="center"/>
          </w:tcPr>
          <w:p w14:paraId="720842DB">
            <w:pPr>
              <w:widowControl/>
              <w:adjustRightInd w:val="0"/>
              <w:snapToGrid w:val="0"/>
              <w:jc w:val="center"/>
              <w:rPr>
                <w:rFonts w:ascii="仿宋" w:hAnsi="仿宋" w:eastAsia="仿宋" w:cs="Arial"/>
                <w:bCs/>
                <w:kern w:val="0"/>
                <w:sz w:val="22"/>
                <w:szCs w:val="22"/>
                <w:highlight w:val="none"/>
              </w:rPr>
            </w:pPr>
          </w:p>
        </w:tc>
        <w:tc>
          <w:tcPr>
            <w:tcW w:w="347" w:type="pct"/>
            <w:vMerge w:val="continue"/>
            <w:vAlign w:val="center"/>
          </w:tcPr>
          <w:p w14:paraId="2DC2D78D">
            <w:pPr>
              <w:widowControl/>
              <w:jc w:val="center"/>
              <w:rPr>
                <w:rFonts w:ascii="仿宋" w:hAnsi="仿宋" w:eastAsia="仿宋" w:cs="Arial"/>
                <w:bCs/>
                <w:kern w:val="0"/>
                <w:sz w:val="22"/>
                <w:szCs w:val="22"/>
                <w:highlight w:val="none"/>
              </w:rPr>
            </w:pPr>
          </w:p>
        </w:tc>
        <w:tc>
          <w:tcPr>
            <w:tcW w:w="933" w:type="pct"/>
            <w:vMerge w:val="continue"/>
            <w:vAlign w:val="center"/>
          </w:tcPr>
          <w:p w14:paraId="76F39F01">
            <w:pPr>
              <w:widowControl/>
              <w:jc w:val="center"/>
              <w:rPr>
                <w:rFonts w:ascii="仿宋" w:hAnsi="仿宋" w:eastAsia="仿宋" w:cs="Arial"/>
                <w:bCs/>
                <w:kern w:val="0"/>
                <w:sz w:val="22"/>
                <w:szCs w:val="22"/>
                <w:highlight w:val="none"/>
              </w:rPr>
            </w:pPr>
          </w:p>
        </w:tc>
        <w:tc>
          <w:tcPr>
            <w:tcW w:w="715" w:type="pct"/>
            <w:vMerge w:val="continue"/>
            <w:vAlign w:val="center"/>
          </w:tcPr>
          <w:p w14:paraId="681FDFFE">
            <w:pPr>
              <w:widowControl/>
              <w:jc w:val="center"/>
              <w:rPr>
                <w:rFonts w:ascii="仿宋" w:hAnsi="仿宋" w:eastAsia="仿宋" w:cs="Arial"/>
                <w:bCs/>
                <w:kern w:val="0"/>
                <w:sz w:val="22"/>
                <w:szCs w:val="22"/>
                <w:highlight w:val="none"/>
              </w:rPr>
            </w:pPr>
          </w:p>
        </w:tc>
        <w:tc>
          <w:tcPr>
            <w:tcW w:w="495" w:type="pct"/>
            <w:vMerge w:val="continue"/>
            <w:vAlign w:val="center"/>
          </w:tcPr>
          <w:p w14:paraId="5E370601">
            <w:pPr>
              <w:widowControl/>
              <w:jc w:val="center"/>
              <w:rPr>
                <w:rFonts w:ascii="仿宋" w:hAnsi="仿宋" w:eastAsia="仿宋" w:cs="Arial"/>
                <w:bCs/>
                <w:kern w:val="0"/>
                <w:sz w:val="22"/>
                <w:szCs w:val="22"/>
                <w:highlight w:val="none"/>
              </w:rPr>
            </w:pPr>
          </w:p>
        </w:tc>
      </w:tr>
      <w:tr w14:paraId="04B4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02" w:type="pct"/>
            <w:vMerge w:val="continue"/>
            <w:vAlign w:val="center"/>
          </w:tcPr>
          <w:p w14:paraId="61FB6E41">
            <w:pPr>
              <w:widowControl/>
              <w:jc w:val="center"/>
              <w:rPr>
                <w:rFonts w:ascii="仿宋" w:hAnsi="仿宋" w:eastAsia="仿宋" w:cs="Arial"/>
                <w:bCs/>
                <w:kern w:val="0"/>
                <w:sz w:val="22"/>
                <w:szCs w:val="22"/>
                <w:highlight w:val="none"/>
              </w:rPr>
            </w:pPr>
          </w:p>
        </w:tc>
        <w:tc>
          <w:tcPr>
            <w:tcW w:w="424" w:type="pct"/>
            <w:vAlign w:val="center"/>
          </w:tcPr>
          <w:p w14:paraId="6107E50B">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全系统功能验证</w:t>
            </w:r>
          </w:p>
        </w:tc>
        <w:tc>
          <w:tcPr>
            <w:tcW w:w="1187" w:type="pct"/>
            <w:vAlign w:val="center"/>
          </w:tcPr>
          <w:p w14:paraId="268505CF">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完成全系统功能验证，全覆盖验证各子系统业务功能完整性、操作可用性、结果有效性，满足制氢负荷检测、一致性评估、能耗分析、产氢品质检测、故障预警、集中管控全部业务需求。</w:t>
            </w:r>
          </w:p>
        </w:tc>
        <w:tc>
          <w:tcPr>
            <w:tcW w:w="172" w:type="pct"/>
            <w:vAlign w:val="center"/>
          </w:tcPr>
          <w:p w14:paraId="0670B261">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152" w:type="pct"/>
            <w:vAlign w:val="center"/>
          </w:tcPr>
          <w:p w14:paraId="2B59335D">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269" w:type="pct"/>
            <w:vMerge w:val="continue"/>
            <w:vAlign w:val="center"/>
          </w:tcPr>
          <w:p w14:paraId="2BEF293B">
            <w:pPr>
              <w:widowControl/>
              <w:adjustRightInd w:val="0"/>
              <w:snapToGrid w:val="0"/>
              <w:jc w:val="center"/>
              <w:rPr>
                <w:rFonts w:ascii="仿宋" w:hAnsi="仿宋" w:eastAsia="仿宋" w:cs="Arial"/>
                <w:bCs/>
                <w:kern w:val="0"/>
                <w:sz w:val="22"/>
                <w:szCs w:val="22"/>
                <w:highlight w:val="none"/>
              </w:rPr>
            </w:pPr>
          </w:p>
        </w:tc>
        <w:tc>
          <w:tcPr>
            <w:tcW w:w="347" w:type="pct"/>
            <w:vMerge w:val="continue"/>
            <w:vAlign w:val="center"/>
          </w:tcPr>
          <w:p w14:paraId="5758D2A0">
            <w:pPr>
              <w:widowControl/>
              <w:jc w:val="center"/>
              <w:rPr>
                <w:rFonts w:ascii="仿宋" w:hAnsi="仿宋" w:eastAsia="仿宋" w:cs="Arial"/>
                <w:bCs/>
                <w:kern w:val="0"/>
                <w:sz w:val="22"/>
                <w:szCs w:val="22"/>
                <w:highlight w:val="none"/>
              </w:rPr>
            </w:pPr>
          </w:p>
        </w:tc>
        <w:tc>
          <w:tcPr>
            <w:tcW w:w="933" w:type="pct"/>
            <w:vMerge w:val="continue"/>
            <w:vAlign w:val="center"/>
          </w:tcPr>
          <w:p w14:paraId="408D5493">
            <w:pPr>
              <w:widowControl/>
              <w:jc w:val="center"/>
              <w:rPr>
                <w:rFonts w:ascii="仿宋" w:hAnsi="仿宋" w:eastAsia="仿宋" w:cs="Arial"/>
                <w:bCs/>
                <w:kern w:val="0"/>
                <w:sz w:val="22"/>
                <w:szCs w:val="22"/>
                <w:highlight w:val="none"/>
              </w:rPr>
            </w:pPr>
          </w:p>
        </w:tc>
        <w:tc>
          <w:tcPr>
            <w:tcW w:w="715" w:type="pct"/>
            <w:vMerge w:val="continue"/>
            <w:vAlign w:val="center"/>
          </w:tcPr>
          <w:p w14:paraId="73F08B68">
            <w:pPr>
              <w:widowControl/>
              <w:jc w:val="center"/>
              <w:rPr>
                <w:rFonts w:ascii="仿宋" w:hAnsi="仿宋" w:eastAsia="仿宋" w:cs="Arial"/>
                <w:bCs/>
                <w:kern w:val="0"/>
                <w:sz w:val="22"/>
                <w:szCs w:val="22"/>
                <w:highlight w:val="none"/>
              </w:rPr>
            </w:pPr>
          </w:p>
        </w:tc>
        <w:tc>
          <w:tcPr>
            <w:tcW w:w="495" w:type="pct"/>
            <w:vMerge w:val="continue"/>
            <w:vAlign w:val="center"/>
          </w:tcPr>
          <w:p w14:paraId="55543F9F">
            <w:pPr>
              <w:widowControl/>
              <w:jc w:val="center"/>
              <w:rPr>
                <w:rFonts w:ascii="仿宋" w:hAnsi="仿宋" w:eastAsia="仿宋" w:cs="Arial"/>
                <w:bCs/>
                <w:kern w:val="0"/>
                <w:sz w:val="22"/>
                <w:szCs w:val="22"/>
                <w:highlight w:val="none"/>
              </w:rPr>
            </w:pPr>
          </w:p>
        </w:tc>
      </w:tr>
      <w:tr w14:paraId="2E29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302" w:type="pct"/>
            <w:vMerge w:val="continue"/>
            <w:vAlign w:val="center"/>
          </w:tcPr>
          <w:p w14:paraId="29D478C8">
            <w:pPr>
              <w:widowControl/>
              <w:jc w:val="center"/>
              <w:rPr>
                <w:rFonts w:ascii="仿宋" w:hAnsi="仿宋" w:eastAsia="仿宋" w:cs="Arial"/>
                <w:bCs/>
                <w:kern w:val="0"/>
                <w:sz w:val="22"/>
                <w:szCs w:val="22"/>
                <w:highlight w:val="none"/>
              </w:rPr>
            </w:pPr>
          </w:p>
        </w:tc>
        <w:tc>
          <w:tcPr>
            <w:tcW w:w="424" w:type="pct"/>
            <w:vAlign w:val="center"/>
          </w:tcPr>
          <w:p w14:paraId="75B6E617">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环境适应性测试</w:t>
            </w:r>
          </w:p>
        </w:tc>
        <w:tc>
          <w:tcPr>
            <w:tcW w:w="1187" w:type="pct"/>
            <w:vAlign w:val="center"/>
          </w:tcPr>
          <w:p w14:paraId="58FBCAC9">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完成环境适应性测试，验证系统及各组件在现场实际温湿度、海拔、温差及常规供电波动工况下长期稳定运行能力，确保环境变化不影响测量精度、采样通讯及设备可靠运行。</w:t>
            </w:r>
          </w:p>
        </w:tc>
        <w:tc>
          <w:tcPr>
            <w:tcW w:w="172" w:type="pct"/>
            <w:vAlign w:val="center"/>
          </w:tcPr>
          <w:p w14:paraId="48AE26EF">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152" w:type="pct"/>
            <w:vAlign w:val="center"/>
          </w:tcPr>
          <w:p w14:paraId="03D2349A">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269" w:type="pct"/>
            <w:vMerge w:val="continue"/>
            <w:vAlign w:val="center"/>
          </w:tcPr>
          <w:p w14:paraId="78D79BF3">
            <w:pPr>
              <w:widowControl/>
              <w:adjustRightInd w:val="0"/>
              <w:snapToGrid w:val="0"/>
              <w:jc w:val="center"/>
              <w:rPr>
                <w:rFonts w:ascii="仿宋" w:hAnsi="仿宋" w:eastAsia="仿宋" w:cs="Arial"/>
                <w:bCs/>
                <w:kern w:val="0"/>
                <w:sz w:val="22"/>
                <w:szCs w:val="22"/>
                <w:highlight w:val="none"/>
              </w:rPr>
            </w:pPr>
          </w:p>
        </w:tc>
        <w:tc>
          <w:tcPr>
            <w:tcW w:w="347" w:type="pct"/>
            <w:vMerge w:val="continue"/>
            <w:vAlign w:val="center"/>
          </w:tcPr>
          <w:p w14:paraId="58D04589">
            <w:pPr>
              <w:widowControl/>
              <w:jc w:val="center"/>
              <w:rPr>
                <w:rFonts w:ascii="仿宋" w:hAnsi="仿宋" w:eastAsia="仿宋" w:cs="Arial"/>
                <w:bCs/>
                <w:kern w:val="0"/>
                <w:sz w:val="22"/>
                <w:szCs w:val="22"/>
                <w:highlight w:val="none"/>
              </w:rPr>
            </w:pPr>
          </w:p>
        </w:tc>
        <w:tc>
          <w:tcPr>
            <w:tcW w:w="933" w:type="pct"/>
            <w:vMerge w:val="continue"/>
            <w:vAlign w:val="center"/>
          </w:tcPr>
          <w:p w14:paraId="7BE69E50">
            <w:pPr>
              <w:widowControl/>
              <w:jc w:val="center"/>
              <w:rPr>
                <w:rFonts w:ascii="仿宋" w:hAnsi="仿宋" w:eastAsia="仿宋" w:cs="Arial"/>
                <w:bCs/>
                <w:kern w:val="0"/>
                <w:sz w:val="22"/>
                <w:szCs w:val="22"/>
                <w:highlight w:val="none"/>
              </w:rPr>
            </w:pPr>
          </w:p>
        </w:tc>
        <w:tc>
          <w:tcPr>
            <w:tcW w:w="715" w:type="pct"/>
            <w:vMerge w:val="continue"/>
            <w:vAlign w:val="center"/>
          </w:tcPr>
          <w:p w14:paraId="27F8F396">
            <w:pPr>
              <w:widowControl/>
              <w:jc w:val="center"/>
              <w:rPr>
                <w:rFonts w:ascii="仿宋" w:hAnsi="仿宋" w:eastAsia="仿宋" w:cs="Arial"/>
                <w:bCs/>
                <w:kern w:val="0"/>
                <w:sz w:val="22"/>
                <w:szCs w:val="22"/>
                <w:highlight w:val="none"/>
              </w:rPr>
            </w:pPr>
          </w:p>
        </w:tc>
        <w:tc>
          <w:tcPr>
            <w:tcW w:w="495" w:type="pct"/>
            <w:vMerge w:val="continue"/>
            <w:vAlign w:val="center"/>
          </w:tcPr>
          <w:p w14:paraId="5CA76FEA">
            <w:pPr>
              <w:widowControl/>
              <w:jc w:val="center"/>
              <w:rPr>
                <w:rFonts w:ascii="仿宋" w:hAnsi="仿宋" w:eastAsia="仿宋" w:cs="Arial"/>
                <w:bCs/>
                <w:kern w:val="0"/>
                <w:sz w:val="22"/>
                <w:szCs w:val="22"/>
                <w:highlight w:val="none"/>
              </w:rPr>
            </w:pPr>
          </w:p>
        </w:tc>
      </w:tr>
    </w:tbl>
    <w:p w14:paraId="33C6771E">
      <w:pPr>
        <w:widowControl/>
        <w:ind w:firstLine="440" w:firstLineChars="200"/>
        <w:jc w:val="left"/>
        <w:rPr>
          <w:highlight w:val="none"/>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1CE93DCC">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1032518">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20B2FCE3">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D9C5687">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1B0262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97B9BCA">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32A052AA">
      <w:pPr>
        <w:rPr>
          <w:rFonts w:ascii="仿宋" w:hAnsi="仿宋" w:eastAsia="仿宋"/>
          <w:color w:val="000000" w:themeColor="text1"/>
          <w:sz w:val="22"/>
          <w:szCs w:val="22"/>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3056AC0A">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分标五：兆瓦级中压直挂V2G设备技术服务项目</w:t>
      </w:r>
    </w:p>
    <w:p w14:paraId="61789384">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分标编号：CY0626SFWP57FZ05</w:t>
      </w:r>
    </w:p>
    <w:tbl>
      <w:tblPr>
        <w:tblStyle w:val="9"/>
        <w:tblW w:w="138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818"/>
        <w:gridCol w:w="723"/>
        <w:gridCol w:w="1213"/>
        <w:gridCol w:w="1433"/>
        <w:gridCol w:w="959"/>
        <w:gridCol w:w="2489"/>
        <w:gridCol w:w="1605"/>
        <w:gridCol w:w="1440"/>
      </w:tblGrid>
      <w:tr w14:paraId="4469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25" w:type="dxa"/>
            <w:vAlign w:val="center"/>
          </w:tcPr>
          <w:p w14:paraId="3E68C538">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1818" w:type="dxa"/>
            <w:vAlign w:val="center"/>
          </w:tcPr>
          <w:p w14:paraId="4F4689C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723" w:type="dxa"/>
            <w:vAlign w:val="center"/>
          </w:tcPr>
          <w:p w14:paraId="1430031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1213" w:type="dxa"/>
            <w:vAlign w:val="center"/>
          </w:tcPr>
          <w:p w14:paraId="1C287320">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1433" w:type="dxa"/>
            <w:vAlign w:val="center"/>
          </w:tcPr>
          <w:p w14:paraId="23E084D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959" w:type="dxa"/>
            <w:vAlign w:val="center"/>
          </w:tcPr>
          <w:p w14:paraId="59FFB4D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2489" w:type="dxa"/>
            <w:vAlign w:val="center"/>
          </w:tcPr>
          <w:p w14:paraId="2EAFE7BA">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1605" w:type="dxa"/>
            <w:vAlign w:val="center"/>
          </w:tcPr>
          <w:p w14:paraId="2A9715C6">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440" w:type="dxa"/>
            <w:vAlign w:val="center"/>
          </w:tcPr>
          <w:p w14:paraId="2B76E449">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6CA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125" w:type="dxa"/>
            <w:vAlign w:val="center"/>
          </w:tcPr>
          <w:p w14:paraId="6B91757D">
            <w:pPr>
              <w:widowControl/>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兆瓦级中压直挂V2G设备技术服务项目</w:t>
            </w:r>
          </w:p>
        </w:tc>
        <w:tc>
          <w:tcPr>
            <w:tcW w:w="1818" w:type="dxa"/>
            <w:vAlign w:val="center"/>
          </w:tcPr>
          <w:p w14:paraId="2757F559">
            <w:pPr>
              <w:widowControl/>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针对兆瓦级中压直挂V2G设备的技术方案，从拓扑架构、绝缘等方面，开展研究并完成技术方案。</w:t>
            </w:r>
          </w:p>
        </w:tc>
        <w:tc>
          <w:tcPr>
            <w:tcW w:w="723" w:type="dxa"/>
            <w:vAlign w:val="center"/>
          </w:tcPr>
          <w:p w14:paraId="6C154DFE">
            <w:pPr>
              <w:widowControl/>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1</w:t>
            </w:r>
          </w:p>
        </w:tc>
        <w:tc>
          <w:tcPr>
            <w:tcW w:w="1213" w:type="dxa"/>
            <w:vAlign w:val="center"/>
          </w:tcPr>
          <w:p w14:paraId="3F339261">
            <w:pPr>
              <w:widowControl/>
              <w:adjustRightInd w:val="0"/>
              <w:snapToGrid w:val="0"/>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宗</w:t>
            </w:r>
          </w:p>
        </w:tc>
        <w:tc>
          <w:tcPr>
            <w:tcW w:w="1433" w:type="dxa"/>
            <w:vAlign w:val="center"/>
          </w:tcPr>
          <w:p w14:paraId="18DB8DCC">
            <w:pPr>
              <w:widowControl/>
              <w:adjustRightInd w:val="0"/>
              <w:snapToGrid w:val="0"/>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合同签订后210日内</w:t>
            </w:r>
          </w:p>
        </w:tc>
        <w:tc>
          <w:tcPr>
            <w:tcW w:w="959" w:type="dxa"/>
            <w:vAlign w:val="center"/>
          </w:tcPr>
          <w:p w14:paraId="62BF761C">
            <w:pPr>
              <w:widowControl/>
              <w:jc w:val="center"/>
              <w:rPr>
                <w:rFonts w:ascii="仿宋" w:hAnsi="仿宋" w:eastAsia="仿宋" w:cs="Arial"/>
                <w:bCs/>
                <w:kern w:val="0"/>
                <w:sz w:val="22"/>
                <w:szCs w:val="22"/>
                <w:highlight w:val="none"/>
              </w:rPr>
            </w:pPr>
            <w:r>
              <w:rPr>
                <w:rFonts w:hint="eastAsia" w:ascii="仿宋" w:hAnsi="仿宋" w:eastAsia="仿宋" w:cs="Arial"/>
                <w:bCs/>
                <w:kern w:val="0"/>
                <w:sz w:val="22"/>
                <w:szCs w:val="22"/>
                <w:highlight w:val="none"/>
              </w:rPr>
              <w:t>1年</w:t>
            </w:r>
          </w:p>
        </w:tc>
        <w:tc>
          <w:tcPr>
            <w:tcW w:w="2489" w:type="dxa"/>
            <w:vAlign w:val="center"/>
          </w:tcPr>
          <w:p w14:paraId="34FFF2B3">
            <w:pPr>
              <w:widowControl/>
              <w:jc w:val="center"/>
              <w:rPr>
                <w:rFonts w:hint="eastAsia" w:ascii="仿宋" w:hAnsi="仿宋" w:eastAsia="仿宋" w:cs="Arial"/>
                <w:bCs/>
                <w:kern w:val="0"/>
                <w:sz w:val="22"/>
                <w:szCs w:val="22"/>
                <w:highlight w:val="none"/>
                <w:lang w:val="en-US" w:eastAsia="zh-CN"/>
              </w:rPr>
            </w:pPr>
            <w:r>
              <w:rPr>
                <w:rFonts w:hint="eastAsia" w:ascii="仿宋" w:hAnsi="仿宋" w:eastAsia="仿宋" w:cs="Arial"/>
                <w:bCs/>
                <w:kern w:val="0"/>
                <w:sz w:val="22"/>
                <w:szCs w:val="22"/>
                <w:highlight w:val="none"/>
                <w:lang w:val="en-US" w:eastAsia="zh-CN"/>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配套人员需求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kern w:val="0"/>
                <w:sz w:val="22"/>
                <w:szCs w:val="22"/>
                <w:highlight w:val="none"/>
              </w:rPr>
              <w:t>应答</w:t>
            </w:r>
            <w:r>
              <w:rPr>
                <w:rFonts w:hint="eastAsia" w:ascii="仿宋" w:hAnsi="仿宋" w:eastAsia="仿宋" w:cs="宋体"/>
                <w:kern w:val="0"/>
                <w:sz w:val="22"/>
                <w:szCs w:val="22"/>
                <w:highlight w:val="none"/>
              </w:rPr>
              <w:t>人需提供不少于3人的实施人员团队，</w:t>
            </w:r>
            <w:r>
              <w:rPr>
                <w:rFonts w:hint="eastAsia" w:ascii="仿宋" w:hAnsi="仿宋" w:eastAsia="仿宋" w:cs="宋体"/>
                <w:color w:val="000000" w:themeColor="text1"/>
                <w:kern w:val="0"/>
                <w:sz w:val="22"/>
                <w:szCs w:val="22"/>
                <w:highlight w:val="none"/>
                <w14:textFill>
                  <w14:solidFill>
                    <w14:schemeClr w14:val="tx1"/>
                  </w14:solidFill>
                </w14:textFill>
              </w:rPr>
              <w:t>提供劳动合同及自投标文件递交截止日前近三个月在本单位的社保缴纳证明。</w:t>
            </w:r>
          </w:p>
        </w:tc>
        <w:tc>
          <w:tcPr>
            <w:tcW w:w="1605" w:type="dxa"/>
            <w:shd w:val="clear" w:color="auto" w:fill="auto"/>
            <w:vAlign w:val="center"/>
          </w:tcPr>
          <w:p w14:paraId="3EC50A83">
            <w:pPr>
              <w:widowControl/>
              <w:spacing w:line="320" w:lineRule="exact"/>
              <w:jc w:val="center"/>
              <w:rPr>
                <w:rFonts w:hint="eastAsia" w:ascii="仿宋" w:hAnsi="仿宋" w:eastAsia="仿宋" w:cs="宋体"/>
                <w:kern w:val="0"/>
                <w:sz w:val="22"/>
                <w:szCs w:val="22"/>
                <w:highlight w:val="none"/>
                <w:lang w:val="en-US" w:eastAsia="zh-CN" w:bidi="ar-SA"/>
              </w:rPr>
            </w:pPr>
            <w:r>
              <w:rPr>
                <w:rFonts w:hint="eastAsia" w:ascii="仿宋" w:hAnsi="仿宋" w:eastAsia="仿宋" w:cs="宋体"/>
                <w:kern w:val="0"/>
                <w:sz w:val="22"/>
                <w:szCs w:val="22"/>
                <w:highlight w:val="none"/>
              </w:rPr>
              <w:t>2023年1月1日至招标公告发布之日内，具有技术开发或软件实施合同不少于3份。</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（时间以合同签订日期为准，须提供用户合同封面、金额页、合同签字盖章页复印件、证明合同内容的合同页、发票复印件、发票查验结果截图。</w:t>
            </w:r>
          </w:p>
        </w:tc>
        <w:tc>
          <w:tcPr>
            <w:tcW w:w="1440" w:type="dxa"/>
            <w:vAlign w:val="center"/>
          </w:tcPr>
          <w:p w14:paraId="49296D5C">
            <w:pPr>
              <w:widowControl/>
              <w:jc w:val="center"/>
              <w:rPr>
                <w:rFonts w:hint="default" w:ascii="仿宋" w:hAnsi="仿宋" w:eastAsia="仿宋" w:cs="Arial"/>
                <w:bCs/>
                <w:kern w:val="0"/>
                <w:sz w:val="22"/>
                <w:szCs w:val="22"/>
                <w:highlight w:val="none"/>
                <w:lang w:val="en-US" w:eastAsia="zh-CN"/>
              </w:rPr>
            </w:pPr>
            <w:r>
              <w:rPr>
                <w:rFonts w:hint="eastAsia" w:ascii="仿宋" w:hAnsi="仿宋" w:eastAsia="仿宋" w:cs="Arial"/>
                <w:bCs/>
                <w:kern w:val="0"/>
                <w:sz w:val="22"/>
                <w:szCs w:val="22"/>
                <w:highlight w:val="none"/>
                <w:lang w:val="en-US" w:eastAsia="zh-CN"/>
              </w:rPr>
              <w:t>0.3</w:t>
            </w:r>
          </w:p>
        </w:tc>
      </w:tr>
    </w:tbl>
    <w:p w14:paraId="0FA04F8D">
      <w:pPr>
        <w:widowControl/>
        <w:ind w:firstLine="440" w:firstLineChars="200"/>
        <w:jc w:val="left"/>
        <w:rPr>
          <w:highlight w:val="none"/>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3B243C01">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60AF84FC">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备注：</w:t>
      </w:r>
    </w:p>
    <w:p w14:paraId="62F7F13E">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868694C">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7F69894">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4F8B71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7064032F">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68EBF472">
      <w:pPr>
        <w:rPr>
          <w:rFonts w:ascii="仿宋" w:hAnsi="仿宋" w:eastAsia="仿宋"/>
          <w:color w:val="000000" w:themeColor="text1"/>
          <w:sz w:val="22"/>
          <w:szCs w:val="22"/>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682A96EC">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分标六：线路通道数据整理劳务项目</w:t>
      </w:r>
    </w:p>
    <w:p w14:paraId="5E49CB83">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分标编号：CY0626SFWP30FZ01</w:t>
      </w:r>
    </w:p>
    <w:tbl>
      <w:tblPr>
        <w:tblStyle w:val="9"/>
        <w:tblW w:w="138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3073"/>
        <w:gridCol w:w="923"/>
        <w:gridCol w:w="1066"/>
        <w:gridCol w:w="836"/>
        <w:gridCol w:w="1018"/>
        <w:gridCol w:w="2103"/>
        <w:gridCol w:w="1665"/>
        <w:gridCol w:w="1260"/>
      </w:tblGrid>
      <w:tr w14:paraId="79CD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61" w:type="dxa"/>
            <w:vAlign w:val="center"/>
          </w:tcPr>
          <w:p w14:paraId="0BA23313">
            <w:pPr>
              <w:widowControl/>
              <w:jc w:val="center"/>
              <w:rPr>
                <w:rFonts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项目名称</w:t>
            </w:r>
          </w:p>
        </w:tc>
        <w:tc>
          <w:tcPr>
            <w:tcW w:w="3073" w:type="dxa"/>
            <w:vAlign w:val="center"/>
          </w:tcPr>
          <w:p w14:paraId="688E1E3E">
            <w:pPr>
              <w:widowControl/>
              <w:jc w:val="center"/>
              <w:rPr>
                <w:rFonts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施工内容</w:t>
            </w:r>
          </w:p>
        </w:tc>
        <w:tc>
          <w:tcPr>
            <w:tcW w:w="923" w:type="dxa"/>
            <w:vAlign w:val="center"/>
          </w:tcPr>
          <w:p w14:paraId="2F2B0F29">
            <w:pPr>
              <w:widowControl/>
              <w:jc w:val="center"/>
              <w:rPr>
                <w:rFonts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数量</w:t>
            </w:r>
          </w:p>
        </w:tc>
        <w:tc>
          <w:tcPr>
            <w:tcW w:w="1066" w:type="dxa"/>
            <w:vAlign w:val="center"/>
          </w:tcPr>
          <w:p w14:paraId="21F15B2F">
            <w:pPr>
              <w:widowControl/>
              <w:jc w:val="center"/>
              <w:rPr>
                <w:rFonts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单位</w:t>
            </w:r>
          </w:p>
        </w:tc>
        <w:tc>
          <w:tcPr>
            <w:tcW w:w="836" w:type="dxa"/>
            <w:vAlign w:val="center"/>
          </w:tcPr>
          <w:p w14:paraId="4343D1E5">
            <w:pPr>
              <w:widowControl/>
              <w:jc w:val="center"/>
              <w:rPr>
                <w:rFonts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工期</w:t>
            </w:r>
          </w:p>
        </w:tc>
        <w:tc>
          <w:tcPr>
            <w:tcW w:w="1018" w:type="dxa"/>
            <w:vAlign w:val="center"/>
          </w:tcPr>
          <w:p w14:paraId="1BD82465">
            <w:pPr>
              <w:widowControl/>
              <w:jc w:val="center"/>
              <w:rPr>
                <w:rFonts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质保期</w:t>
            </w:r>
          </w:p>
        </w:tc>
        <w:tc>
          <w:tcPr>
            <w:tcW w:w="2103" w:type="dxa"/>
            <w:vAlign w:val="center"/>
          </w:tcPr>
          <w:p w14:paraId="6B43564C">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1665" w:type="dxa"/>
            <w:vAlign w:val="center"/>
          </w:tcPr>
          <w:p w14:paraId="4253FA19">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260" w:type="dxa"/>
            <w:vAlign w:val="center"/>
          </w:tcPr>
          <w:p w14:paraId="675B7E57">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259B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861" w:type="dxa"/>
            <w:vAlign w:val="center"/>
          </w:tcPr>
          <w:p w14:paraId="6597931D">
            <w:pPr>
              <w:widowControl/>
              <w:jc w:val="center"/>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线路通道数据整理劳务项目</w:t>
            </w:r>
          </w:p>
        </w:tc>
        <w:tc>
          <w:tcPr>
            <w:tcW w:w="3073" w:type="dxa"/>
            <w:vAlign w:val="center"/>
          </w:tcPr>
          <w:p w14:paraId="02F3A538">
            <w:pPr>
              <w:widowControl/>
              <w:jc w:val="center"/>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详见技术规范</w:t>
            </w:r>
          </w:p>
        </w:tc>
        <w:tc>
          <w:tcPr>
            <w:tcW w:w="923" w:type="dxa"/>
            <w:vAlign w:val="center"/>
          </w:tcPr>
          <w:p w14:paraId="5815F51D">
            <w:pPr>
              <w:widowControl/>
              <w:jc w:val="center"/>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1</w:t>
            </w:r>
          </w:p>
        </w:tc>
        <w:tc>
          <w:tcPr>
            <w:tcW w:w="1066" w:type="dxa"/>
            <w:vAlign w:val="center"/>
          </w:tcPr>
          <w:p w14:paraId="5D6933F9">
            <w:pPr>
              <w:widowControl/>
              <w:adjustRightInd w:val="0"/>
              <w:snapToGrid w:val="0"/>
              <w:jc w:val="center"/>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宗</w:t>
            </w:r>
          </w:p>
        </w:tc>
        <w:tc>
          <w:tcPr>
            <w:tcW w:w="836" w:type="dxa"/>
            <w:vAlign w:val="center"/>
          </w:tcPr>
          <w:p w14:paraId="27FBD184">
            <w:pPr>
              <w:widowControl/>
              <w:adjustRightInd w:val="0"/>
              <w:snapToGrid w:val="0"/>
              <w:jc w:val="center"/>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180天</w:t>
            </w:r>
          </w:p>
        </w:tc>
        <w:tc>
          <w:tcPr>
            <w:tcW w:w="1018" w:type="dxa"/>
            <w:vAlign w:val="center"/>
          </w:tcPr>
          <w:p w14:paraId="02A18AAD">
            <w:pPr>
              <w:widowControl/>
              <w:jc w:val="center"/>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w:t>
            </w:r>
          </w:p>
        </w:tc>
        <w:tc>
          <w:tcPr>
            <w:tcW w:w="2103" w:type="dxa"/>
            <w:vAlign w:val="center"/>
          </w:tcPr>
          <w:p w14:paraId="36421458">
            <w:pPr>
              <w:widowControl/>
              <w:jc w:val="center"/>
              <w:rPr>
                <w:rFonts w:hint="eastAsia" w:ascii="仿宋" w:hAnsi="仿宋" w:eastAsia="仿宋" w:cs="仿宋"/>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kern w:val="0"/>
                <w:sz w:val="22"/>
                <w:szCs w:val="22"/>
                <w:highlight w:val="none"/>
                <w14:textFill>
                  <w14:solidFill>
                    <w14:schemeClr w14:val="tx1"/>
                  </w14:solidFill>
                </w14:textFill>
              </w:rPr>
              <w:t>服务商</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w:t>
            </w:r>
            <w:r>
              <w:rPr>
                <w:rFonts w:hint="eastAsia" w:ascii="仿宋" w:hAnsi="仿宋" w:eastAsia="仿宋" w:cs="仿宋"/>
                <w:color w:val="000000" w:themeColor="text1"/>
                <w:kern w:val="0"/>
                <w:sz w:val="22"/>
                <w:szCs w:val="22"/>
                <w:highlight w:val="none"/>
                <w14:textFill>
                  <w14:solidFill>
                    <w14:schemeClr w14:val="tx1"/>
                  </w14:solidFill>
                </w14:textFill>
              </w:rPr>
              <w:t>具有建设行政主管部门颁发的施工劳务不分等级资质。</w:t>
            </w:r>
          </w:p>
        </w:tc>
        <w:tc>
          <w:tcPr>
            <w:tcW w:w="1665" w:type="dxa"/>
            <w:shd w:val="clear" w:color="auto" w:fill="auto"/>
            <w:vAlign w:val="center"/>
          </w:tcPr>
          <w:p w14:paraId="2F958D8B">
            <w:pPr>
              <w:widowControl/>
              <w:jc w:val="left"/>
              <w:rPr>
                <w:rFonts w:hint="eastAsia" w:ascii="仿宋" w:hAnsi="仿宋" w:eastAsia="仿宋" w:cs="仿宋"/>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2023年1月1日至招标公告发布日内，具有劳务分包项目业绩不少于3份。（时间以合同签订日期为准，须提供用户合同封面、金额页、合同签字盖章页复印件、证明合同内容的合同页、发票复印件、发票查验结果截图）</w:t>
            </w:r>
          </w:p>
        </w:tc>
        <w:tc>
          <w:tcPr>
            <w:tcW w:w="1260" w:type="dxa"/>
            <w:vAlign w:val="center"/>
          </w:tcPr>
          <w:p w14:paraId="555A14B8">
            <w:pPr>
              <w:widowControl/>
              <w:jc w:val="center"/>
              <w:rPr>
                <w:rFonts w:hint="default" w:ascii="仿宋" w:hAnsi="仿宋" w:eastAsia="仿宋" w:cs="仿宋"/>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kern w:val="0"/>
                <w:sz w:val="22"/>
                <w:szCs w:val="22"/>
                <w:highlight w:val="none"/>
                <w:lang w:val="en-US" w:eastAsia="zh-CN"/>
                <w14:textFill>
                  <w14:solidFill>
                    <w14:schemeClr w14:val="tx1"/>
                  </w14:solidFill>
                </w14:textFill>
              </w:rPr>
              <w:t>0.3</w:t>
            </w:r>
          </w:p>
        </w:tc>
      </w:tr>
    </w:tbl>
    <w:p w14:paraId="11C48482">
      <w:pPr>
        <w:widowControl/>
        <w:jc w:val="left"/>
        <w:rPr>
          <w:b/>
          <w:color w:val="000000" w:themeColor="text1"/>
          <w:sz w:val="44"/>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07B3306C">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16C342D0">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02C29D7">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30B37203">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713709B">
      <w:pP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sz w:val="22"/>
          <w:szCs w:val="22"/>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5"/>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5"/>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6C74530"/>
    <w:rsid w:val="08E41D65"/>
    <w:rsid w:val="0D705975"/>
    <w:rsid w:val="0EE13289"/>
    <w:rsid w:val="101736F7"/>
    <w:rsid w:val="144B398A"/>
    <w:rsid w:val="14C60571"/>
    <w:rsid w:val="19EA7F0D"/>
    <w:rsid w:val="1B304996"/>
    <w:rsid w:val="216E6218"/>
    <w:rsid w:val="21BC068A"/>
    <w:rsid w:val="22B755C4"/>
    <w:rsid w:val="249C662B"/>
    <w:rsid w:val="25F807A6"/>
    <w:rsid w:val="271138CD"/>
    <w:rsid w:val="28982781"/>
    <w:rsid w:val="2A5C1303"/>
    <w:rsid w:val="35520A6F"/>
    <w:rsid w:val="3A4B5344"/>
    <w:rsid w:val="3C3025F0"/>
    <w:rsid w:val="3D2832C7"/>
    <w:rsid w:val="3E7762B4"/>
    <w:rsid w:val="3ECC7B2A"/>
    <w:rsid w:val="3FC925C9"/>
    <w:rsid w:val="42706353"/>
    <w:rsid w:val="445F3A72"/>
    <w:rsid w:val="44C02BF0"/>
    <w:rsid w:val="47301E4F"/>
    <w:rsid w:val="47811F51"/>
    <w:rsid w:val="487D4E0F"/>
    <w:rsid w:val="4B4B2FA2"/>
    <w:rsid w:val="4D981108"/>
    <w:rsid w:val="4F7423AB"/>
    <w:rsid w:val="50DD2A1C"/>
    <w:rsid w:val="56F52014"/>
    <w:rsid w:val="5A8E07B6"/>
    <w:rsid w:val="5C863DFA"/>
    <w:rsid w:val="5D296EBB"/>
    <w:rsid w:val="5FD924D3"/>
    <w:rsid w:val="60D02126"/>
    <w:rsid w:val="616B7AA3"/>
    <w:rsid w:val="631201B1"/>
    <w:rsid w:val="66541C09"/>
    <w:rsid w:val="69B20D7C"/>
    <w:rsid w:val="6AC83870"/>
    <w:rsid w:val="6E6C09B6"/>
    <w:rsid w:val="6EC425A0"/>
    <w:rsid w:val="727A7B45"/>
    <w:rsid w:val="79FF6B82"/>
    <w:rsid w:val="7A432F13"/>
    <w:rsid w:val="7A7F0F4D"/>
    <w:rsid w:val="7B063989"/>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pPr>
    <w:rPr>
      <w:sz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firstLine="420"/>
    </w:p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9205</Words>
  <Characters>10007</Characters>
  <Lines>0</Lines>
  <Paragraphs>0</Paragraphs>
  <TotalTime>4</TotalTime>
  <ScaleCrop>false</ScaleCrop>
  <LinksUpToDate>false</LinksUpToDate>
  <CharactersWithSpaces>10022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2026-06-25T10:36:48Z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