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5"/>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5"/>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分标一：变电站集控接入标准化改造设备采购项目</w:t>
      </w:r>
    </w:p>
    <w:p w14:paraId="51F209FC">
      <w:pPr>
        <w:pStyle w:val="5"/>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分标编号：CY0626SWWP16FZ02</w:t>
      </w:r>
    </w:p>
    <w:tbl>
      <w:tblPr>
        <w:tblStyle w:val="3"/>
        <w:tblW w:w="13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1305"/>
        <w:gridCol w:w="708"/>
        <w:gridCol w:w="709"/>
        <w:gridCol w:w="1389"/>
        <w:gridCol w:w="709"/>
        <w:gridCol w:w="992"/>
        <w:gridCol w:w="2260"/>
        <w:gridCol w:w="1995"/>
        <w:gridCol w:w="1350"/>
      </w:tblGrid>
      <w:tr w14:paraId="7209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526B91ED">
            <w:pPr>
              <w:widowControl/>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417" w:type="dxa"/>
            <w:vAlign w:val="center"/>
          </w:tcPr>
          <w:p w14:paraId="03CA0013">
            <w:pPr>
              <w:widowControl/>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305" w:type="dxa"/>
            <w:vAlign w:val="center"/>
          </w:tcPr>
          <w:p w14:paraId="77719D9C">
            <w:pPr>
              <w:widowControl/>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708" w:type="dxa"/>
            <w:vAlign w:val="center"/>
          </w:tcPr>
          <w:p w14:paraId="5CB8592A">
            <w:pPr>
              <w:widowControl/>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709" w:type="dxa"/>
            <w:vAlign w:val="center"/>
          </w:tcPr>
          <w:p w14:paraId="274184E3">
            <w:pPr>
              <w:widowControl/>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389" w:type="dxa"/>
            <w:vAlign w:val="center"/>
          </w:tcPr>
          <w:p w14:paraId="1793D022">
            <w:pPr>
              <w:widowControl/>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09" w:type="dxa"/>
            <w:vAlign w:val="center"/>
          </w:tcPr>
          <w:p w14:paraId="1CA46FC3">
            <w:pPr>
              <w:widowControl/>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992" w:type="dxa"/>
            <w:vAlign w:val="center"/>
          </w:tcPr>
          <w:p w14:paraId="6B604349">
            <w:pPr>
              <w:widowControl/>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260" w:type="dxa"/>
            <w:vAlign w:val="center"/>
          </w:tcPr>
          <w:p w14:paraId="7A55D771">
            <w:pPr>
              <w:snapToGrid w:val="0"/>
              <w:jc w:val="center"/>
              <w:rPr>
                <w:rFonts w:hint="eastAsia" w:ascii="仿宋" w:hAnsi="仿宋" w:eastAsia="仿宋" w:cs="Arial"/>
                <w:b/>
                <w:bCs/>
                <w:kern w:val="0"/>
                <w:sz w:val="22"/>
                <w:szCs w:val="22"/>
                <w:highlight w:val="none"/>
              </w:rPr>
            </w:pPr>
            <w:r>
              <w:rPr>
                <w:rFonts w:hint="eastAsia" w:ascii="仿宋" w:hAnsi="仿宋" w:eastAsia="仿宋" w:cs="仿宋"/>
                <w:b/>
                <w:bCs/>
                <w:color w:val="000000"/>
                <w:sz w:val="22"/>
                <w:szCs w:val="22"/>
                <w:highlight w:val="none"/>
                <w:lang w:val="en-US" w:eastAsia="zh-CN"/>
              </w:rPr>
              <w:t>专用资质要求</w:t>
            </w:r>
          </w:p>
        </w:tc>
        <w:tc>
          <w:tcPr>
            <w:tcW w:w="1995" w:type="dxa"/>
            <w:vAlign w:val="center"/>
          </w:tcPr>
          <w:p w14:paraId="7A50DB3E">
            <w:pPr>
              <w:snapToGrid w:val="0"/>
              <w:jc w:val="center"/>
              <w:rPr>
                <w:rFonts w:hint="eastAsia" w:ascii="仿宋" w:hAnsi="仿宋" w:eastAsia="仿宋" w:cs="Arial"/>
                <w:b/>
                <w:bCs/>
                <w:kern w:val="0"/>
                <w:sz w:val="22"/>
                <w:szCs w:val="22"/>
                <w:highlight w:val="none"/>
              </w:rPr>
            </w:pPr>
            <w:r>
              <w:rPr>
                <w:rFonts w:hint="eastAsia" w:ascii="仿宋" w:hAnsi="仿宋" w:eastAsia="仿宋" w:cs="仿宋"/>
                <w:b/>
                <w:bCs/>
                <w:color w:val="000000"/>
                <w:sz w:val="22"/>
                <w:szCs w:val="22"/>
                <w:highlight w:val="none"/>
                <w:lang w:val="en-US" w:eastAsia="zh-CN"/>
              </w:rPr>
              <w:t>专用业绩要求</w:t>
            </w:r>
          </w:p>
        </w:tc>
        <w:tc>
          <w:tcPr>
            <w:tcW w:w="1350" w:type="dxa"/>
            <w:vAlign w:val="center"/>
          </w:tcPr>
          <w:p w14:paraId="7D41423C">
            <w:pPr>
              <w:snapToGrid w:val="0"/>
              <w:jc w:val="center"/>
              <w:rPr>
                <w:rFonts w:hint="eastAsia" w:ascii="仿宋" w:hAnsi="仿宋" w:eastAsia="仿宋" w:cs="Arial"/>
                <w:b/>
                <w:bCs/>
                <w:kern w:val="0"/>
                <w:sz w:val="22"/>
                <w:szCs w:val="22"/>
                <w:highlight w:val="none"/>
              </w:rPr>
            </w:pPr>
            <w:r>
              <w:rPr>
                <w:rFonts w:hint="eastAsia" w:ascii="仿宋" w:hAnsi="仿宋" w:eastAsia="仿宋" w:cs="仿宋"/>
                <w:b/>
                <w:bCs/>
                <w:color w:val="000000"/>
                <w:sz w:val="22"/>
                <w:szCs w:val="22"/>
                <w:highlight w:val="none"/>
                <w:lang w:val="en-US" w:eastAsia="zh-CN"/>
              </w:rPr>
              <w:t>保证金金额（万元）</w:t>
            </w:r>
          </w:p>
        </w:tc>
      </w:tr>
      <w:tr w14:paraId="0C69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Align w:val="center"/>
          </w:tcPr>
          <w:p w14:paraId="5A27FCC0">
            <w:pPr>
              <w:widowControl/>
              <w:snapToGrid w:val="0"/>
              <w:jc w:val="left"/>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变电站集控接入标准化改造设备采购项目</w:t>
            </w:r>
          </w:p>
        </w:tc>
        <w:tc>
          <w:tcPr>
            <w:tcW w:w="1417" w:type="dxa"/>
            <w:vAlign w:val="center"/>
          </w:tcPr>
          <w:p w14:paraId="4B183ACD">
            <w:pPr>
              <w:widowControl/>
              <w:snapToGrid w:val="0"/>
              <w:jc w:val="left"/>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变电站集控接入标准化改造设备</w:t>
            </w:r>
          </w:p>
        </w:tc>
        <w:tc>
          <w:tcPr>
            <w:tcW w:w="1305" w:type="dxa"/>
            <w:vAlign w:val="center"/>
          </w:tcPr>
          <w:p w14:paraId="7B949745">
            <w:pPr>
              <w:widowControl/>
              <w:snapToGrid w:val="0"/>
              <w:jc w:val="left"/>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满足技术规范参数要求</w:t>
            </w:r>
          </w:p>
        </w:tc>
        <w:tc>
          <w:tcPr>
            <w:tcW w:w="708" w:type="dxa"/>
            <w:shd w:val="clear" w:color="000000" w:fill="FFFFFF"/>
            <w:vAlign w:val="center"/>
          </w:tcPr>
          <w:p w14:paraId="0E7C393E">
            <w:pPr>
              <w:widowControl/>
              <w:snapToGrid w:val="0"/>
              <w:jc w:val="left"/>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台</w:t>
            </w:r>
          </w:p>
        </w:tc>
        <w:tc>
          <w:tcPr>
            <w:tcW w:w="709" w:type="dxa"/>
            <w:vAlign w:val="center"/>
          </w:tcPr>
          <w:p w14:paraId="4EACA6B6">
            <w:pPr>
              <w:widowControl/>
              <w:snapToGrid w:val="0"/>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198</w:t>
            </w:r>
          </w:p>
        </w:tc>
        <w:tc>
          <w:tcPr>
            <w:tcW w:w="1389" w:type="dxa"/>
            <w:vAlign w:val="center"/>
          </w:tcPr>
          <w:p w14:paraId="50846DE1">
            <w:pPr>
              <w:widowControl/>
              <w:snapToGrid w:val="0"/>
              <w:jc w:val="left"/>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接到供货通知后15日内</w:t>
            </w:r>
          </w:p>
        </w:tc>
        <w:tc>
          <w:tcPr>
            <w:tcW w:w="709" w:type="dxa"/>
            <w:vAlign w:val="center"/>
          </w:tcPr>
          <w:p w14:paraId="037841CF">
            <w:pPr>
              <w:widowControl/>
              <w:snapToGrid w:val="0"/>
              <w:jc w:val="left"/>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投运后3年</w:t>
            </w:r>
          </w:p>
        </w:tc>
        <w:tc>
          <w:tcPr>
            <w:tcW w:w="992" w:type="dxa"/>
            <w:vAlign w:val="center"/>
          </w:tcPr>
          <w:p w14:paraId="37815959">
            <w:pPr>
              <w:widowControl/>
              <w:snapToGrid w:val="0"/>
              <w:jc w:val="left"/>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260" w:type="dxa"/>
            <w:vAlign w:val="center"/>
          </w:tcPr>
          <w:p w14:paraId="1490717C">
            <w:pPr>
              <w:widowControl/>
              <w:snapToGrid w:val="0"/>
              <w:jc w:val="left"/>
              <w:rPr>
                <w:rFonts w:hint="eastAsia" w:ascii="仿宋" w:hAnsi="仿宋" w:eastAsia="等线"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b/>
                <w:bCs/>
                <w:highlight w:val="none"/>
              </w:rPr>
              <w:t>厂商要求</w:t>
            </w:r>
            <w:r>
              <w:rPr>
                <w:rFonts w:hint="eastAsia"/>
                <w:b/>
                <w:bCs/>
                <w:highlight w:val="none"/>
                <w:lang w:eastAsia="zh-CN"/>
              </w:rPr>
              <w:t>：</w:t>
            </w:r>
            <w:r>
              <w:rPr>
                <w:rFonts w:hint="eastAsia"/>
                <w:highlight w:val="none"/>
              </w:rPr>
              <w:t>制造商</w:t>
            </w:r>
            <w:r>
              <w:rPr>
                <w:rFonts w:hint="eastAsia"/>
                <w:highlight w:val="none"/>
                <w:lang w:val="en-US" w:eastAsia="zh-CN"/>
              </w:rPr>
              <w:t>2.</w:t>
            </w:r>
            <w:r>
              <w:rPr>
                <w:rFonts w:hint="eastAsia"/>
                <w:b/>
                <w:bCs/>
                <w:highlight w:val="none"/>
              </w:rPr>
              <w:t>产品型式试验报告或检测报告或鉴定报告</w:t>
            </w:r>
            <w:r>
              <w:rPr>
                <w:rFonts w:hint="eastAsia"/>
                <w:b/>
                <w:bCs/>
                <w:highlight w:val="none"/>
                <w:lang w:eastAsia="zh-CN"/>
              </w:rPr>
              <w:t>：</w:t>
            </w:r>
            <w:r>
              <w:rPr>
                <w:rFonts w:hint="eastAsia"/>
                <w:highlight w:val="none"/>
              </w:rPr>
              <w:t>提供与投标产品类似功能的第三方权威检测机构的有效的检测报告或型式试验报告或认证证书。</w:t>
            </w:r>
          </w:p>
        </w:tc>
        <w:tc>
          <w:tcPr>
            <w:tcW w:w="1995" w:type="dxa"/>
            <w:shd w:val="clear" w:color="auto" w:fill="auto"/>
            <w:vAlign w:val="center"/>
          </w:tcPr>
          <w:p w14:paraId="08CC7801">
            <w:pPr>
              <w:rPr>
                <w:rFonts w:hint="eastAsia" w:ascii="等线" w:hAnsi="等线" w:eastAsia="等线" w:cs="Times New Roman"/>
                <w:kern w:val="2"/>
                <w:sz w:val="21"/>
                <w:szCs w:val="22"/>
                <w:highlight w:val="none"/>
                <w:lang w:val="en-US" w:eastAsia="zh-CN" w:bidi="ar-SA"/>
              </w:rPr>
            </w:pPr>
            <w:r>
              <w:rPr>
                <w:rFonts w:hint="eastAsia"/>
                <w:highlight w:val="none"/>
              </w:rPr>
              <w:t>2023年1月1日至招标公告发布之日内，具有工控机、服务器类产品累计销售业绩不少于200万元。（时间以合同签订日期为准，须提供用户合同封面、金额页、合同签字盖章页复印件、证明合同内容的合同页；发票复印件；发票查验截图）。</w:t>
            </w:r>
          </w:p>
        </w:tc>
        <w:tc>
          <w:tcPr>
            <w:tcW w:w="1350" w:type="dxa"/>
            <w:vAlign w:val="center"/>
          </w:tcPr>
          <w:p w14:paraId="35AA4513">
            <w:pPr>
              <w:widowControl/>
              <w:snapToGrid w:val="0"/>
              <w:jc w:val="left"/>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5.3</w:t>
            </w:r>
          </w:p>
        </w:tc>
      </w:tr>
    </w:tbl>
    <w:p w14:paraId="069B2945">
      <w:pPr>
        <w:pStyle w:val="5"/>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注：具体供货不局限于上述产品。应包括上述产品相关配</w:t>
      </w:r>
      <w:r>
        <w:rPr>
          <w:rFonts w:hint="eastAsia" w:ascii="仿宋" w:hAnsi="仿宋" w:eastAsia="仿宋"/>
          <w:color w:val="000000" w:themeColor="text1"/>
          <w:sz w:val="22"/>
          <w:szCs w:val="22"/>
          <w:highlight w:val="none"/>
          <w14:textFill>
            <w14:solidFill>
              <w14:schemeClr w14:val="tx1"/>
            </w14:solidFill>
          </w14:textFill>
        </w:rPr>
        <w:t>件，类似升级产品。</w:t>
      </w:r>
    </w:p>
    <w:p w14:paraId="55695956">
      <w:pPr>
        <w:rPr>
          <w:rFonts w:hint="eastAsia" w:ascii="仿宋" w:hAnsi="仿宋" w:eastAsia="仿宋" w:cs="仿宋"/>
          <w:sz w:val="24"/>
          <w:szCs w:val="24"/>
          <w:highlight w:val="none"/>
        </w:rPr>
      </w:pPr>
      <w:bookmarkStart w:id="0" w:name="OLE_LINK1"/>
      <w:r>
        <w:rPr>
          <w:rFonts w:hint="eastAsia" w:ascii="仿宋" w:hAnsi="仿宋" w:eastAsia="仿宋" w:cs="仿宋"/>
          <w:sz w:val="24"/>
          <w:szCs w:val="24"/>
          <w:highlight w:val="none"/>
        </w:rPr>
        <w:t>备注：</w:t>
      </w:r>
    </w:p>
    <w:p w14:paraId="6FF32857">
      <w:pPr>
        <w:rPr>
          <w:rFonts w:hint="eastAsia"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14AEF34">
      <w:pPr>
        <w:rPr>
          <w:rFonts w:hint="eastAsia"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21CFADE5">
      <w:pPr>
        <w:rPr>
          <w:rFonts w:hint="eastAsia"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31EA8A05">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bookmarkEnd w:id="0"/>
      <w:r>
        <w:rPr>
          <w:rFonts w:hint="eastAsia" w:ascii="仿宋" w:hAnsi="仿宋" w:eastAsia="仿宋" w:cs="仿宋"/>
          <w:sz w:val="24"/>
          <w:szCs w:val="24"/>
          <w:highlight w:val="none"/>
        </w:rPr>
        <w:t>。</w:t>
      </w: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A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customStyle="1" w:styleId="5">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2026-07-02T12:12:29Z</dcterms:created>
  <dc:creator>Lenovo</dc:creator>
  <cp:lastModifiedBy>贺朝.</cp:lastModifiedBy>
  <dcterms:modified xsi:type="dcterms:W3CDTF">2026-07-02T12:14:12Z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eyJoZGlkIjoiMjgzMmI5ZmUwMzE0MGI5MWNlMTg5OTkzMTBlM2E5NWUiLCJ1c2VySWQiOiI3MzAwNjQ3NTMifQ==</vt:lpwstr>
  </property>
  <property fmtid="{D5CDD505-2E9C-101B-9397-08002B2CF9AE}" pid="4" name="ICV">
    <vt:lpwstr>F6B399A1B4A34174AA2976427E6C24E0_12</vt:lpwstr>
  </property>
</Properties>
</file>