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C31B367">
      <w:pPr>
        <w:keepNext w:val="0"/>
        <w:keepLines w:val="0"/>
        <w:pageBreakBefore w:val="0"/>
        <w:widowControl/>
        <w:shd w:val="clear"/>
        <w:kinsoku/>
        <w:wordWrap/>
        <w:overflowPunct/>
        <w:topLinePunct w:val="0"/>
        <w:bidi w:val="0"/>
        <w:adjustRightInd w:val="0"/>
        <w:snapToGrid w:val="0"/>
        <w:spacing w:before="0" w:after="0" w:line="400" w:lineRule="exact"/>
        <w:jc w:val="left"/>
        <w:textAlignment w:val="auto"/>
        <w:outlineLvl w:val="1"/>
        <w:rPr>
          <w:rFonts w:hint="eastAsia" w:ascii="宋体" w:hAnsi="宋体" w:eastAsia="宋体" w:cs="宋体"/>
          <w:b/>
          <w:color w:val="auto"/>
          <w:kern w:val="2"/>
          <w:sz w:val="28"/>
          <w:szCs w:val="28"/>
          <w:highlight w:val="none"/>
          <w:lang w:val="en-US" w:eastAsia="zh-CN" w:bidi="en-US"/>
        </w:rPr>
      </w:pPr>
      <w:bookmarkStart w:id="0" w:name="_GoBack"/>
      <w:bookmarkEnd w:id="0"/>
      <w:r>
        <w:rPr>
          <w:rFonts w:hint="eastAsia" w:ascii="宋体" w:hAnsi="宋体" w:eastAsia="宋体" w:cs="宋体"/>
          <w:b/>
          <w:color w:val="auto"/>
          <w:kern w:val="2"/>
          <w:sz w:val="28"/>
          <w:szCs w:val="28"/>
          <w:highlight w:val="none"/>
          <w:lang w:val="en-US" w:eastAsia="zh-CN" w:bidi="en-US"/>
        </w:rPr>
        <w:t>招标公告附件</w:t>
      </w:r>
    </w:p>
    <w:tbl>
      <w:tblPr>
        <w:tblStyle w:val="9"/>
        <w:tblW w:w="5409" w:type="pct"/>
        <w:tblInd w:w="-5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9"/>
        <w:gridCol w:w="1354"/>
        <w:gridCol w:w="3312"/>
        <w:gridCol w:w="996"/>
        <w:gridCol w:w="982"/>
        <w:gridCol w:w="1150"/>
        <w:gridCol w:w="1254"/>
        <w:gridCol w:w="2717"/>
        <w:gridCol w:w="2201"/>
      </w:tblGrid>
      <w:tr w14:paraId="055D89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trPr>
        <w:tc>
          <w:tcPr>
            <w:tcW w:w="446" w:type="pct"/>
            <w:shd w:val="clear" w:color="auto" w:fill="auto"/>
            <w:vAlign w:val="center"/>
          </w:tcPr>
          <w:p w14:paraId="162E9524">
            <w:pPr>
              <w:widowControl/>
              <w:jc w:val="center"/>
              <w:rPr>
                <w:rFonts w:hint="eastAsia" w:ascii="宋体" w:hAnsi="宋体" w:eastAsia="宋体" w:cs="宋体"/>
                <w:b/>
                <w:bCs/>
                <w:color w:val="000000"/>
                <w:kern w:val="0"/>
                <w:sz w:val="24"/>
                <w:szCs w:val="24"/>
              </w:rPr>
            </w:pPr>
            <w:r>
              <w:rPr>
                <w:rFonts w:hint="eastAsia" w:ascii="宋体" w:hAnsi="宋体" w:eastAsia="宋体" w:cs="宋体"/>
                <w:b/>
                <w:bCs/>
                <w:color w:val="000000"/>
                <w:kern w:val="0"/>
                <w:sz w:val="24"/>
                <w:szCs w:val="24"/>
              </w:rPr>
              <w:t>项目名称及包号</w:t>
            </w:r>
          </w:p>
        </w:tc>
        <w:tc>
          <w:tcPr>
            <w:tcW w:w="441" w:type="pct"/>
            <w:shd w:val="clear" w:color="auto" w:fill="auto"/>
            <w:vAlign w:val="center"/>
          </w:tcPr>
          <w:p w14:paraId="10476F40">
            <w:pPr>
              <w:widowControl/>
              <w:jc w:val="center"/>
              <w:rPr>
                <w:rFonts w:hint="eastAsia" w:ascii="宋体" w:hAnsi="宋体" w:eastAsia="宋体" w:cs="宋体"/>
                <w:b/>
                <w:bCs/>
                <w:color w:val="000000"/>
                <w:kern w:val="0"/>
                <w:sz w:val="24"/>
                <w:szCs w:val="24"/>
              </w:rPr>
            </w:pPr>
            <w:r>
              <w:rPr>
                <w:rFonts w:hint="eastAsia" w:ascii="宋体" w:hAnsi="宋体" w:eastAsia="宋体" w:cs="宋体"/>
                <w:b/>
                <w:bCs/>
                <w:color w:val="000000"/>
                <w:kern w:val="0"/>
                <w:sz w:val="24"/>
                <w:szCs w:val="24"/>
              </w:rPr>
              <w:t>服务内容</w:t>
            </w:r>
          </w:p>
        </w:tc>
        <w:tc>
          <w:tcPr>
            <w:tcW w:w="1079" w:type="pct"/>
            <w:shd w:val="clear" w:color="auto" w:fill="auto"/>
            <w:vAlign w:val="center"/>
          </w:tcPr>
          <w:p w14:paraId="4B0362AE">
            <w:pPr>
              <w:widowControl/>
              <w:jc w:val="center"/>
              <w:rPr>
                <w:rFonts w:hint="eastAsia" w:ascii="宋体" w:hAnsi="宋体" w:eastAsia="宋体" w:cs="宋体"/>
                <w:b/>
                <w:bCs/>
                <w:color w:val="000000"/>
                <w:kern w:val="0"/>
                <w:sz w:val="24"/>
                <w:szCs w:val="24"/>
              </w:rPr>
            </w:pPr>
            <w:r>
              <w:rPr>
                <w:rFonts w:hint="eastAsia" w:ascii="宋体" w:hAnsi="宋体" w:eastAsia="宋体" w:cs="宋体"/>
                <w:b/>
                <w:bCs/>
                <w:color w:val="000000"/>
                <w:kern w:val="0"/>
                <w:sz w:val="24"/>
                <w:szCs w:val="24"/>
              </w:rPr>
              <w:t>主要技术要求</w:t>
            </w:r>
          </w:p>
        </w:tc>
        <w:tc>
          <w:tcPr>
            <w:tcW w:w="324" w:type="pct"/>
            <w:shd w:val="clear" w:color="auto" w:fill="auto"/>
            <w:vAlign w:val="center"/>
          </w:tcPr>
          <w:p w14:paraId="26ECB9A6">
            <w:pPr>
              <w:widowControl/>
              <w:jc w:val="center"/>
              <w:rPr>
                <w:rFonts w:hint="eastAsia" w:ascii="宋体" w:hAnsi="宋体" w:eastAsia="宋体" w:cs="宋体"/>
                <w:b/>
                <w:bCs/>
                <w:color w:val="000000"/>
                <w:kern w:val="0"/>
                <w:sz w:val="24"/>
                <w:szCs w:val="24"/>
              </w:rPr>
            </w:pPr>
            <w:r>
              <w:rPr>
                <w:rFonts w:hint="eastAsia" w:ascii="宋体" w:hAnsi="宋体" w:eastAsia="宋体" w:cs="宋体"/>
                <w:b/>
                <w:bCs/>
                <w:color w:val="000000"/>
                <w:kern w:val="0"/>
                <w:sz w:val="24"/>
                <w:szCs w:val="24"/>
              </w:rPr>
              <w:t>单位</w:t>
            </w:r>
          </w:p>
        </w:tc>
        <w:tc>
          <w:tcPr>
            <w:tcW w:w="320" w:type="pct"/>
            <w:shd w:val="clear" w:color="auto" w:fill="auto"/>
            <w:vAlign w:val="center"/>
          </w:tcPr>
          <w:p w14:paraId="7B90F139">
            <w:pPr>
              <w:widowControl/>
              <w:jc w:val="center"/>
              <w:rPr>
                <w:rFonts w:hint="eastAsia" w:ascii="宋体" w:hAnsi="宋体" w:eastAsia="宋体" w:cs="宋体"/>
                <w:b/>
                <w:bCs/>
                <w:color w:val="000000"/>
                <w:kern w:val="0"/>
                <w:sz w:val="24"/>
                <w:szCs w:val="24"/>
              </w:rPr>
            </w:pPr>
            <w:r>
              <w:rPr>
                <w:rFonts w:hint="eastAsia" w:ascii="宋体" w:hAnsi="宋体" w:eastAsia="宋体" w:cs="宋体"/>
                <w:b/>
                <w:bCs/>
                <w:color w:val="000000"/>
                <w:kern w:val="0"/>
                <w:sz w:val="24"/>
                <w:szCs w:val="24"/>
              </w:rPr>
              <w:t>数量</w:t>
            </w:r>
          </w:p>
        </w:tc>
        <w:tc>
          <w:tcPr>
            <w:tcW w:w="374" w:type="pct"/>
            <w:shd w:val="clear" w:color="auto" w:fill="auto"/>
            <w:vAlign w:val="center"/>
          </w:tcPr>
          <w:p w14:paraId="7E34A157">
            <w:pPr>
              <w:widowControl/>
              <w:jc w:val="center"/>
              <w:rPr>
                <w:rFonts w:hint="eastAsia" w:ascii="宋体" w:hAnsi="宋体" w:eastAsia="宋体" w:cs="宋体"/>
                <w:b/>
                <w:bCs/>
                <w:color w:val="000000"/>
                <w:kern w:val="0"/>
                <w:sz w:val="24"/>
                <w:szCs w:val="24"/>
              </w:rPr>
            </w:pPr>
            <w:r>
              <w:rPr>
                <w:rFonts w:hint="eastAsia" w:ascii="宋体" w:hAnsi="宋体" w:eastAsia="宋体" w:cs="宋体"/>
                <w:b/>
                <w:bCs/>
                <w:color w:val="000000"/>
                <w:kern w:val="0"/>
                <w:sz w:val="24"/>
                <w:szCs w:val="24"/>
              </w:rPr>
              <w:t>服务期</w:t>
            </w:r>
          </w:p>
        </w:tc>
        <w:tc>
          <w:tcPr>
            <w:tcW w:w="408" w:type="pct"/>
            <w:shd w:val="clear" w:color="auto" w:fill="auto"/>
            <w:vAlign w:val="center"/>
          </w:tcPr>
          <w:p w14:paraId="7E44D9D2">
            <w:pPr>
              <w:widowControl/>
              <w:jc w:val="center"/>
              <w:rPr>
                <w:rFonts w:hint="eastAsia" w:ascii="宋体" w:hAnsi="宋体" w:eastAsia="宋体" w:cs="宋体"/>
                <w:b/>
                <w:bCs/>
                <w:color w:val="000000"/>
                <w:kern w:val="0"/>
                <w:sz w:val="24"/>
                <w:szCs w:val="24"/>
                <w:lang w:eastAsia="zh-CN"/>
              </w:rPr>
            </w:pPr>
            <w:r>
              <w:rPr>
                <w:rFonts w:hint="eastAsia" w:ascii="宋体" w:hAnsi="宋体" w:eastAsia="宋体" w:cs="宋体"/>
                <w:b/>
                <w:bCs/>
                <w:color w:val="000000"/>
                <w:kern w:val="0"/>
                <w:sz w:val="24"/>
                <w:szCs w:val="24"/>
              </w:rPr>
              <w:t>质保期</w:t>
            </w:r>
            <w:r>
              <w:rPr>
                <w:rFonts w:hint="eastAsia" w:ascii="宋体" w:hAnsi="宋体" w:eastAsia="宋体" w:cs="宋体"/>
                <w:b/>
                <w:bCs/>
                <w:color w:val="000000"/>
                <w:kern w:val="0"/>
                <w:sz w:val="24"/>
                <w:szCs w:val="24"/>
                <w:lang w:eastAsia="zh-CN"/>
              </w:rPr>
              <w:t>（</w:t>
            </w:r>
            <w:r>
              <w:rPr>
                <w:rFonts w:hint="eastAsia" w:ascii="宋体" w:hAnsi="宋体" w:eastAsia="宋体" w:cs="宋体"/>
                <w:b/>
                <w:bCs/>
                <w:color w:val="000000"/>
                <w:kern w:val="0"/>
                <w:sz w:val="24"/>
                <w:szCs w:val="24"/>
                <w:lang w:val="en-US" w:eastAsia="zh-CN"/>
              </w:rPr>
              <w:t>不低于</w:t>
            </w:r>
            <w:r>
              <w:rPr>
                <w:rFonts w:hint="eastAsia" w:ascii="宋体" w:hAnsi="宋体" w:eastAsia="宋体" w:cs="宋体"/>
                <w:b/>
                <w:bCs/>
                <w:color w:val="000000"/>
                <w:kern w:val="0"/>
                <w:sz w:val="24"/>
                <w:szCs w:val="24"/>
                <w:lang w:eastAsia="zh-CN"/>
              </w:rPr>
              <w:t>）</w:t>
            </w:r>
          </w:p>
        </w:tc>
        <w:tc>
          <w:tcPr>
            <w:tcW w:w="885" w:type="pct"/>
            <w:shd w:val="clear" w:color="auto" w:fill="auto"/>
            <w:vAlign w:val="center"/>
          </w:tcPr>
          <w:p w14:paraId="6BA185B5">
            <w:pPr>
              <w:widowControl/>
              <w:jc w:val="center"/>
              <w:rPr>
                <w:rFonts w:hint="eastAsia" w:ascii="宋体" w:hAnsi="宋体" w:eastAsia="宋体" w:cs="宋体"/>
                <w:b/>
                <w:bCs/>
                <w:color w:val="000000"/>
                <w:kern w:val="0"/>
                <w:sz w:val="24"/>
                <w:szCs w:val="24"/>
                <w:lang w:val="en-US" w:eastAsia="zh-CN"/>
              </w:rPr>
            </w:pPr>
            <w:r>
              <w:rPr>
                <w:rFonts w:hint="eastAsia" w:ascii="宋体" w:hAnsi="宋体" w:cs="宋体"/>
                <w:b/>
                <w:bCs/>
                <w:color w:val="000000"/>
                <w:kern w:val="0"/>
                <w:sz w:val="24"/>
                <w:szCs w:val="24"/>
                <w:lang w:val="en-US" w:eastAsia="zh-CN"/>
              </w:rPr>
              <w:t>专用资格要求</w:t>
            </w:r>
          </w:p>
        </w:tc>
        <w:tc>
          <w:tcPr>
            <w:tcW w:w="717" w:type="pct"/>
            <w:shd w:val="clear" w:color="auto" w:fill="auto"/>
            <w:vAlign w:val="center"/>
          </w:tcPr>
          <w:p w14:paraId="3E394F0C">
            <w:pPr>
              <w:widowControl/>
              <w:jc w:val="center"/>
              <w:rPr>
                <w:rFonts w:hint="eastAsia" w:ascii="宋体" w:hAnsi="宋体" w:eastAsia="宋体" w:cs="宋体"/>
                <w:b/>
                <w:bCs/>
                <w:color w:val="000000"/>
                <w:kern w:val="0"/>
                <w:sz w:val="24"/>
                <w:szCs w:val="24"/>
              </w:rPr>
            </w:pPr>
            <w:r>
              <w:rPr>
                <w:rFonts w:hint="eastAsia" w:ascii="宋体" w:hAnsi="宋体" w:cs="宋体"/>
                <w:b/>
                <w:bCs/>
                <w:color w:val="000000"/>
                <w:kern w:val="0"/>
                <w:sz w:val="24"/>
                <w:szCs w:val="24"/>
                <w:lang w:val="en-US" w:eastAsia="zh-CN"/>
              </w:rPr>
              <w:t>专用业绩要求</w:t>
            </w:r>
          </w:p>
        </w:tc>
      </w:tr>
      <w:tr w14:paraId="3F5C13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3" w:hRule="atLeast"/>
        </w:trPr>
        <w:tc>
          <w:tcPr>
            <w:tcW w:w="446" w:type="pct"/>
            <w:shd w:val="clear" w:color="auto" w:fill="auto"/>
            <w:vAlign w:val="center"/>
          </w:tcPr>
          <w:p w14:paraId="759FD961">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高清采集模组安装项目</w:t>
            </w:r>
          </w:p>
        </w:tc>
        <w:tc>
          <w:tcPr>
            <w:tcW w:w="441" w:type="pct"/>
            <w:shd w:val="clear" w:color="auto" w:fill="auto"/>
            <w:vAlign w:val="center"/>
          </w:tcPr>
          <w:p w14:paraId="581AB6FC">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500kV变电站高清采集模组安装（有立杆）</w:t>
            </w:r>
          </w:p>
        </w:tc>
        <w:tc>
          <w:tcPr>
            <w:tcW w:w="1079" w:type="pct"/>
            <w:shd w:val="clear" w:color="auto" w:fill="auto"/>
            <w:vAlign w:val="center"/>
          </w:tcPr>
          <w:p w14:paraId="03016356">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按照甲方工艺标准、设计方案、安装计划及实施流程完成站点固定式智能采集模组安装，主要进站手续办理，与业主保持良好沟通并积极解答业主问题，与甲方保持良好沟通并及时反馈业主需求、项目现场安全及质量自检并及时上传至甲方进行检验，直至项目竣工验收并提供竣工资料。摄像机固定安装（包含支架）；立杆安装（包含基础开挖、地笼安装等）；各类通讯配电箱（柜）安装；各类立杆防雨箱安装；各类线缆敷设；各类管材、线槽安装；墙面地面开槽及恢复；直埋电缆沟开挖及恢复；屏柜安装，后台设备安装；摄像机及相关设备的通讯和电缆线连接、调试；包含安装所用辅助材料如膨胀螺栓、螺栓等与支吊架连接的标准件；制作设备标牌；含摄像机所需线缆敷设、接线及电源接取、线缆标牌制作等，含安装辅料如施工所需的线缆、网线、光纤、不锈钢管（槽）、热镀锌管（槽）、铝合金槽、PVC管（槽）、接地材料、特殊工艺支架等其他材料费及安装费，安装方式符合相应规范要求，含台班费；施工工艺符合电力设计标准要求，报价含相应封堵防火处理等费用，并达到业主和甲方等单位的验收标准。</w:t>
            </w:r>
          </w:p>
        </w:tc>
        <w:tc>
          <w:tcPr>
            <w:tcW w:w="324" w:type="pct"/>
            <w:shd w:val="clear" w:color="000000" w:fill="FFFFFF"/>
            <w:vAlign w:val="center"/>
          </w:tcPr>
          <w:p w14:paraId="3E04F120">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套</w:t>
            </w:r>
          </w:p>
        </w:tc>
        <w:tc>
          <w:tcPr>
            <w:tcW w:w="320" w:type="pct"/>
            <w:shd w:val="clear" w:color="auto" w:fill="auto"/>
            <w:vAlign w:val="center"/>
          </w:tcPr>
          <w:p w14:paraId="1C070E90">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124</w:t>
            </w:r>
          </w:p>
        </w:tc>
        <w:tc>
          <w:tcPr>
            <w:tcW w:w="374" w:type="pct"/>
            <w:shd w:val="clear" w:color="auto" w:fill="auto"/>
            <w:vAlign w:val="center"/>
          </w:tcPr>
          <w:p w14:paraId="3CD2CBAB">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以甲方通知为准</w:t>
            </w:r>
          </w:p>
        </w:tc>
        <w:tc>
          <w:tcPr>
            <w:tcW w:w="408" w:type="pct"/>
            <w:shd w:val="clear" w:color="auto" w:fill="auto"/>
            <w:vAlign w:val="center"/>
          </w:tcPr>
          <w:p w14:paraId="0339A082">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36个月</w:t>
            </w:r>
          </w:p>
        </w:tc>
        <w:tc>
          <w:tcPr>
            <w:tcW w:w="885" w:type="pct"/>
            <w:shd w:val="clear" w:color="auto" w:fill="auto"/>
            <w:vAlign w:val="center"/>
          </w:tcPr>
          <w:p w14:paraId="11C7173B">
            <w:pPr>
              <w:keepNext w:val="0"/>
              <w:keepLines w:val="0"/>
              <w:widowControl/>
              <w:suppressLineNumbers w:val="0"/>
              <w:jc w:val="center"/>
              <w:textAlignment w:val="cente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kern w:val="0"/>
                <w:sz w:val="24"/>
                <w:szCs w:val="24"/>
                <w:lang w:val="en-US" w:eastAsia="zh-CN"/>
                <w14:textFill>
                  <w14:solidFill>
                    <w14:schemeClr w14:val="tx1"/>
                  </w14:solidFill>
                </w14:textFill>
              </w:rPr>
              <w:t>资质要求</w:t>
            </w:r>
            <w:r>
              <w:rPr>
                <w:rFonts w:hint="eastAsia" w:ascii="宋体" w:hAnsi="宋体" w:cs="宋体"/>
                <w:b/>
                <w:bCs/>
                <w:color w:val="000000" w:themeColor="text1"/>
                <w:kern w:val="0"/>
                <w:sz w:val="24"/>
                <w:szCs w:val="24"/>
                <w:lang w:val="en-US" w:eastAsia="zh-CN"/>
                <w14:textFill>
                  <w14:solidFill>
                    <w14:schemeClr w14:val="tx1"/>
                  </w14:solidFill>
                </w14:textFill>
              </w:rPr>
              <w:t>：</w:t>
            </w: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（1）具有有效的安全生产许可证；</w:t>
            </w: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br w:type="textWrapping"/>
            </w: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（2）具有建设行政主管部门核发的电子与智能化工程专业承包二级及以上资质。</w:t>
            </w:r>
          </w:p>
          <w:p w14:paraId="7051CBDA">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b/>
                <w:bCs/>
                <w:color w:val="000000" w:themeColor="text1"/>
                <w:kern w:val="0"/>
                <w:sz w:val="24"/>
                <w:szCs w:val="24"/>
                <w14:textFill>
                  <w14:solidFill>
                    <w14:schemeClr w14:val="tx1"/>
                  </w14:solidFill>
                </w14:textFill>
              </w:rPr>
              <w:t>备注</w:t>
            </w:r>
            <w:r>
              <w:rPr>
                <w:rFonts w:hint="eastAsia" w:ascii="宋体" w:hAnsi="宋体" w:cs="宋体"/>
                <w:b/>
                <w:bCs/>
                <w:color w:val="000000" w:themeColor="text1"/>
                <w:kern w:val="0"/>
                <w:sz w:val="24"/>
                <w:szCs w:val="24"/>
                <w:lang w:val="en-US" w:eastAsia="zh-CN"/>
                <w14:textFill>
                  <w14:solidFill>
                    <w14:schemeClr w14:val="tx1"/>
                  </w14:solidFill>
                </w14:textFill>
              </w:rPr>
              <w:t>:</w:t>
            </w: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1.项目经理要求：</w:t>
            </w: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br w:type="textWrapping"/>
            </w: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（1）应取得机电工程类二级及以上注册建造师资格证书。</w:t>
            </w: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br w:type="textWrapping"/>
            </w: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（2）持有政府主管部门颁发的项目负责人安全生产考核合格证书。</w:t>
            </w:r>
            <w:r>
              <w:rPr>
                <w:rFonts w:hint="eastAsia" w:ascii="宋体" w:hAnsi="宋体" w:eastAsia="宋体" w:cs="宋体"/>
                <w:color w:val="000000" w:themeColor="text1"/>
                <w:kern w:val="0"/>
                <w:sz w:val="24"/>
                <w:szCs w:val="24"/>
                <w:highlight w:val="none"/>
                <w:lang w:val="en-US" w:eastAsia="zh"/>
                <w14:textFill>
                  <w14:solidFill>
                    <w14:schemeClr w14:val="tx1"/>
                  </w14:solidFill>
                </w14:textFill>
              </w:rPr>
              <w:t>提供</w:t>
            </w: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项目经理</w:t>
            </w:r>
            <w:r>
              <w:rPr>
                <w:rFonts w:hint="eastAsia" w:ascii="宋体" w:hAnsi="宋体" w:eastAsia="宋体" w:cs="宋体"/>
                <w:color w:val="000000" w:themeColor="text1"/>
                <w:kern w:val="0"/>
                <w:sz w:val="24"/>
                <w:szCs w:val="24"/>
                <w:highlight w:val="none"/>
                <w:lang w:val="en-US" w:eastAsia="zh"/>
                <w14:textFill>
                  <w14:solidFill>
                    <w14:schemeClr w14:val="tx1"/>
                  </w14:solidFill>
                </w14:textFill>
              </w:rPr>
              <w:t>自投标文件递交截止日前近三个月在本单位的社保缴纳证明。</w:t>
            </w: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br w:type="textWrapping"/>
            </w: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2.项目部安全员：</w:t>
            </w: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br w:type="textWrapping"/>
            </w: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（1）专职。</w:t>
            </w: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br w:type="textWrapping"/>
            </w: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（2）持有政府主管部门颁发的安全管理人员安全生产考核合格证书，具有从事2年及以上同类型工程施工安全管理经历。</w:t>
            </w: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br w:type="textWrapping"/>
            </w: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（3）年龄要求：60周岁以下</w:t>
            </w: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br w:type="textWrapping"/>
            </w: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（4）人员属性：正式员工。（</w:t>
            </w:r>
            <w:r>
              <w:rPr>
                <w:rFonts w:hint="eastAsia" w:ascii="宋体" w:hAnsi="宋体" w:eastAsia="宋体" w:cs="宋体"/>
                <w:color w:val="000000" w:themeColor="text1"/>
                <w:kern w:val="0"/>
                <w:sz w:val="24"/>
                <w:szCs w:val="24"/>
                <w:highlight w:val="none"/>
                <w:lang w:val="en-US" w:eastAsia="zh"/>
                <w14:textFill>
                  <w14:solidFill>
                    <w14:schemeClr w14:val="tx1"/>
                  </w14:solidFill>
                </w14:textFill>
              </w:rPr>
              <w:t>提供</w:t>
            </w: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安全员</w:t>
            </w:r>
            <w:r>
              <w:rPr>
                <w:rFonts w:hint="eastAsia" w:ascii="宋体" w:hAnsi="宋体" w:eastAsia="宋体" w:cs="宋体"/>
                <w:color w:val="000000" w:themeColor="text1"/>
                <w:kern w:val="0"/>
                <w:sz w:val="24"/>
                <w:szCs w:val="24"/>
                <w:highlight w:val="none"/>
                <w:lang w:val="en-US" w:eastAsia="zh"/>
                <w14:textFill>
                  <w14:solidFill>
                    <w14:schemeClr w14:val="tx1"/>
                  </w14:solidFill>
                </w14:textFill>
              </w:rPr>
              <w:t>自投标文件递交截止日前近三个月在本单位的社保缴纳证明。</w:t>
            </w: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w:t>
            </w:r>
          </w:p>
        </w:tc>
        <w:tc>
          <w:tcPr>
            <w:tcW w:w="717" w:type="pct"/>
            <w:shd w:val="clear" w:color="auto" w:fill="auto"/>
            <w:vAlign w:val="center"/>
          </w:tcPr>
          <w:p w14:paraId="7647BA00">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b/>
                <w:bCs/>
                <w:color w:val="000000" w:themeColor="text1"/>
                <w:kern w:val="0"/>
                <w:sz w:val="24"/>
                <w:szCs w:val="24"/>
                <w14:textFill>
                  <w14:solidFill>
                    <w14:schemeClr w14:val="tx1"/>
                  </w14:solidFill>
                </w14:textFill>
              </w:rPr>
              <w:t>完成过与招标项目相类似的同等或以上技术要求的项目</w:t>
            </w:r>
            <w:r>
              <w:rPr>
                <w:rFonts w:hint="eastAsia" w:ascii="宋体" w:hAnsi="宋体" w:cs="宋体"/>
                <w:b/>
                <w:bCs/>
                <w:color w:val="000000" w:themeColor="text1"/>
                <w:kern w:val="0"/>
                <w:sz w:val="24"/>
                <w:szCs w:val="24"/>
                <w:lang w:eastAsia="zh-CN"/>
                <w14:textFill>
                  <w14:solidFill>
                    <w14:schemeClr w14:val="tx1"/>
                  </w14:solidFill>
                </w14:textFill>
              </w:rPr>
              <w:t>：</w:t>
            </w:r>
            <w:r>
              <w:rPr>
                <w:rFonts w:hint="eastAsia" w:ascii="宋体" w:hAnsi="宋体" w:eastAsia="宋体" w:cs="宋体"/>
                <w:color w:val="000000" w:themeColor="text1"/>
                <w:kern w:val="0"/>
                <w:sz w:val="24"/>
                <w:szCs w:val="24"/>
                <w:highlight w:val="none"/>
                <w14:textFill>
                  <w14:solidFill>
                    <w14:schemeClr w14:val="tx1"/>
                  </w14:solidFill>
                </w14:textFill>
              </w:rPr>
              <w:t>202</w:t>
            </w: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1</w:t>
            </w:r>
            <w:r>
              <w:rPr>
                <w:rFonts w:hint="eastAsia" w:ascii="宋体" w:hAnsi="宋体" w:eastAsia="宋体" w:cs="宋体"/>
                <w:color w:val="000000" w:themeColor="text1"/>
                <w:kern w:val="0"/>
                <w:sz w:val="24"/>
                <w:szCs w:val="24"/>
                <w:highlight w:val="none"/>
                <w14:textFill>
                  <w14:solidFill>
                    <w14:schemeClr w14:val="tx1"/>
                  </w14:solidFill>
                </w14:textFill>
              </w:rPr>
              <w:t>年1月1日至</w:t>
            </w: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投标截止</w:t>
            </w:r>
            <w:r>
              <w:rPr>
                <w:rFonts w:hint="eastAsia" w:ascii="宋体" w:hAnsi="宋体" w:eastAsia="宋体" w:cs="宋体"/>
                <w:color w:val="000000" w:themeColor="text1"/>
                <w:kern w:val="0"/>
                <w:sz w:val="24"/>
                <w:szCs w:val="24"/>
                <w:highlight w:val="none"/>
                <w14:textFill>
                  <w14:solidFill>
                    <w14:schemeClr w14:val="tx1"/>
                  </w14:solidFill>
                </w14:textFill>
              </w:rPr>
              <w:t>日止，</w:t>
            </w: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投标人具有电子与智能化工程</w:t>
            </w:r>
            <w:r>
              <w:rPr>
                <w:rFonts w:hint="eastAsia" w:ascii="宋体" w:hAnsi="宋体" w:eastAsia="宋体" w:cs="宋体"/>
                <w:spacing w:val="-2"/>
                <w:sz w:val="24"/>
                <w:szCs w:val="24"/>
              </w:rPr>
              <w:t>施工业绩</w:t>
            </w:r>
            <w:r>
              <w:rPr>
                <w:rFonts w:hint="eastAsia" w:ascii="宋体" w:hAnsi="宋体" w:eastAsia="宋体" w:cs="宋体"/>
                <w:color w:val="000000" w:themeColor="text1"/>
                <w:kern w:val="0"/>
                <w:sz w:val="24"/>
                <w:szCs w:val="24"/>
                <w:highlight w:val="none"/>
                <w14:textFill>
                  <w14:solidFill>
                    <w14:schemeClr w14:val="tx1"/>
                  </w14:solidFill>
                </w14:textFill>
              </w:rPr>
              <w:t>。注：业绩必须提供对应的合同复印件</w:t>
            </w: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及发票查验截图</w:t>
            </w:r>
            <w:r>
              <w:rPr>
                <w:rFonts w:hint="eastAsia" w:ascii="宋体" w:hAnsi="宋体" w:eastAsia="宋体" w:cs="宋体"/>
                <w:color w:val="000000" w:themeColor="text1"/>
                <w:kern w:val="0"/>
                <w:sz w:val="24"/>
                <w:szCs w:val="24"/>
                <w:highlight w:val="none"/>
                <w14:textFill>
                  <w14:solidFill>
                    <w14:schemeClr w14:val="tx1"/>
                  </w14:solidFill>
                </w14:textFill>
              </w:rPr>
              <w:t>。</w:t>
            </w:r>
          </w:p>
        </w:tc>
      </w:tr>
    </w:tbl>
    <w:p w14:paraId="2C408CA0">
      <w:pPr>
        <w:keepNext w:val="0"/>
        <w:keepLines w:val="0"/>
        <w:pageBreakBefore w:val="0"/>
        <w:shd w:val="clear"/>
        <w:kinsoku/>
        <w:wordWrap/>
        <w:overflowPunct/>
        <w:topLinePunct w:val="0"/>
        <w:bidi w:val="0"/>
        <w:adjustRightInd w:val="0"/>
        <w:snapToGrid w:val="0"/>
        <w:spacing w:line="400" w:lineRule="exac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具体服务不局限于上述需求一览表。应包括上述服务相关延伸服务及产品，类似升级服务及相关产品。</w:t>
      </w:r>
    </w:p>
    <w:p w14:paraId="398DEAEB">
      <w:pPr>
        <w:keepNext w:val="0"/>
        <w:keepLines w:val="0"/>
        <w:pageBreakBefore w:val="0"/>
        <w:shd w:val="clear"/>
        <w:kinsoku/>
        <w:wordWrap/>
        <w:overflowPunct/>
        <w:topLinePunct w:val="0"/>
        <w:bidi w:val="0"/>
        <w:adjustRightInd w:val="0"/>
        <w:snapToGrid w:val="0"/>
        <w:spacing w:line="400" w:lineRule="exac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备注：</w:t>
      </w:r>
    </w:p>
    <w:p w14:paraId="00DBA384">
      <w:pPr>
        <w:keepNext w:val="0"/>
        <w:keepLines w:val="0"/>
        <w:pageBreakBefore w:val="0"/>
        <w:shd w:val="clear"/>
        <w:kinsoku/>
        <w:wordWrap/>
        <w:overflowPunct/>
        <w:topLinePunct w:val="0"/>
        <w:bidi w:val="0"/>
        <w:adjustRightInd w:val="0"/>
        <w:snapToGrid w:val="0"/>
        <w:spacing w:line="400" w:lineRule="exac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取得《国家电网有限公司集中规模招标采购供应商资质能力核实证明》或《国网智能科技股份有限公司集中规模招标采购供应商资质能力核实证明》（以下简称《核实证明》）的投标人，应按要求使用该《核实证明》。《核实证明》含有的业绩、试验报告不能满足招标文件要求的，需要提供满足要求的业绩、试验报告等证明材料；未取得《核实证明》的，投标人需要提供对应支持证明材料。</w:t>
      </w:r>
    </w:p>
    <w:p w14:paraId="3921BA19">
      <w:pPr>
        <w:keepNext w:val="0"/>
        <w:keepLines w:val="0"/>
        <w:pageBreakBefore w:val="0"/>
        <w:shd w:val="clear"/>
        <w:kinsoku/>
        <w:wordWrap/>
        <w:overflowPunct/>
        <w:topLinePunct w:val="0"/>
        <w:bidi w:val="0"/>
        <w:adjustRightInd w:val="0"/>
        <w:snapToGrid w:val="0"/>
        <w:spacing w:line="40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eastAsia="zh-CN"/>
        </w:rPr>
        <w:t>投标文件</w:t>
      </w:r>
      <w:r>
        <w:rPr>
          <w:rFonts w:hint="eastAsia" w:ascii="宋体" w:hAnsi="宋体" w:eastAsia="宋体" w:cs="宋体"/>
          <w:color w:val="auto"/>
          <w:sz w:val="24"/>
          <w:szCs w:val="24"/>
          <w:highlight w:val="none"/>
        </w:rPr>
        <w:t>中提供的证明材料复印件应复印清晰、可辨认且不得遮盖、涂抹，否则视为无效。</w:t>
      </w:r>
    </w:p>
    <w:p w14:paraId="24101A80">
      <w:pPr>
        <w:keepNext w:val="0"/>
        <w:keepLines w:val="0"/>
        <w:pageBreakBefore w:val="0"/>
        <w:shd w:val="clear"/>
        <w:kinsoku/>
        <w:wordWrap/>
        <w:overflowPunct/>
        <w:topLinePunct w:val="0"/>
        <w:bidi w:val="0"/>
        <w:adjustRightInd w:val="0"/>
        <w:snapToGrid w:val="0"/>
        <w:spacing w:line="400" w:lineRule="exac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合同金额以所提供的发票及查验截图为准，业绩发票影印件后须附通过国家税务总局全国增值税发票查验平台（网址：https://inv-veri.chinatax.gov.cn/）查验的发票结果截图，“一发票一截图”，业绩认定时间以合同签订时间为准，合同签订时间不得晚于项目“专用业绩要求”中要求的时间。未提供发票或未提供对应发票查验结果截图的或合同签订时间晚于项目“专用业绩要求”中要求的时间的业绩不予认可。所有业绩支撑证明材料内容须保证清晰、可辨认且不得遮盖、涂抹。</w:t>
      </w:r>
    </w:p>
    <w:sectPr>
      <w:headerReference r:id="rId3" w:type="default"/>
      <w:footerReference r:id="rId4" w:type="default"/>
      <w:pgSz w:w="16838" w:h="11906" w:orient="landscape"/>
      <w:pgMar w:top="1134" w:right="1440" w:bottom="1134" w:left="1440" w:header="851" w:footer="992" w:gutter="0"/>
      <w:cols w:space="0" w:num="1"/>
      <w:rtlGutter w:val="0"/>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272862">
    <w:pPr>
      <w:pStyle w:val="4"/>
      <w:tabs>
        <w:tab w:val="center" w:pos="6979"/>
        <w:tab w:val="clear" w:pos="8306"/>
      </w:tabs>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58420" cy="1397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58420" cy="139700"/>
                      </a:xfrm>
                      <a:prstGeom prst="rect">
                        <a:avLst/>
                      </a:prstGeom>
                      <a:noFill/>
                      <a:ln>
                        <a:noFill/>
                      </a:ln>
                      <a:effectLst/>
                    </wps:spPr>
                    <wps:txbx>
                      <w:txbxContent>
                        <w:p w14:paraId="20C5A364">
                          <w:pPr>
                            <w:pStyle w:val="4"/>
                          </w:pPr>
                          <w:r>
                            <w:fldChar w:fldCharType="begin"/>
                          </w:r>
                          <w:r>
                            <w:instrText xml:space="preserve"> PAGE  \* MERGEFORMAT </w:instrText>
                          </w:r>
                          <w:r>
                            <w:fldChar w:fldCharType="separate"/>
                          </w:r>
                          <w:r>
                            <w:t>72</w:t>
                          </w:r>
                          <w:r>
                            <w:fldChar w:fldCharType="end"/>
                          </w:r>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11pt;width:4.6pt;mso-position-horizontal:center;mso-position-horizontal-relative:margin;mso-wrap-style:none;z-index:251659264;mso-width-relative:page;mso-height-relative:page;" filled="f" stroked="f" coordsize="21600,21600" o:gfxdata="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">
              <v:fill on="f" focussize="0,0"/>
              <v:stroke on="f"/>
              <v:imagedata o:title=""/>
              <o:lock v:ext="edit" aspectratio="f"/>
              <v:textbox inset="0mm,0mm,0mm,0mm" style="mso-fit-shape-to-text:t;">
                <w:txbxContent>
                  <w:p w14:paraId="20C5A364">
                    <w:pPr>
                      <w:pStyle w:val="4"/>
                    </w:pPr>
                    <w:r>
                      <w:fldChar w:fldCharType="begin"/>
                    </w:r>
                    <w:r>
                      <w:instrText xml:space="preserve"> PAGE  \* MERGEFORMAT </w:instrText>
                    </w:r>
                    <w:r>
                      <w:fldChar w:fldCharType="separate"/>
                    </w:r>
                    <w:r>
                      <w:t>72</w:t>
                    </w:r>
                    <w:r>
                      <w:fldChar w:fldCharType="end"/>
                    </w:r>
                  </w:p>
                </w:txbxContent>
              </v:textbox>
            </v:shape>
          </w:pict>
        </mc:Fallback>
      </mc:AlternateContent>
    </w:r>
    <w:r>
      <w:tab/>
    </w:r>
    <w:r>
      <w:tab/>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254ECC">
    <w:pPr>
      <w:pStyle w:val="5"/>
      <w:pBdr>
        <w:bottom w:val="none" w:color="auto" w:sz="0" w:space="1"/>
      </w:pBdr>
      <w:ind w:firstLine="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documentProtection w:enforcement="0"/>
  <w:defaultTabStop w:val="420"/>
  <w:drawingGridHorizontalSpacing w:val="210"/>
  <w:drawingGridVerticalSpacing w:val="156"/>
  <w:displayHorizontalDrawingGridEvery w:val="1"/>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3CB67A9"/>
    <w:rsid w:val="082F1D9B"/>
    <w:rsid w:val="1B6366D6"/>
    <w:rsid w:val="33CB67A9"/>
    <w:rsid w:val="34156DC1"/>
    <w:rsid w:val="3D337252"/>
    <w:rsid w:val="3E892B06"/>
    <w:rsid w:val="4B3B62DE"/>
    <w:rsid w:val="4C0F1E58"/>
    <w:rsid w:val="52406848"/>
    <w:rsid w:val="53B13BBE"/>
    <w:rsid w:val="5E7E3958"/>
    <w:rsid w:val="5F146102"/>
    <w:rsid w:val="6E8C2E06"/>
    <w:rsid w:val="7AD646E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99"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Body Text Indent"/>
    <w:basedOn w:val="1"/>
    <w:next w:val="3"/>
    <w:qFormat/>
    <w:uiPriority w:val="0"/>
    <w:pPr>
      <w:spacing w:after="120"/>
      <w:ind w:left="420"/>
    </w:pPr>
    <w:rPr>
      <w:sz w:val="22"/>
    </w:rPr>
  </w:style>
  <w:style w:type="paragraph" w:styleId="3">
    <w:name w:val="envelope return"/>
    <w:basedOn w:val="1"/>
    <w:qFormat/>
    <w:uiPriority w:val="99"/>
    <w:pPr>
      <w:snapToGrid w:val="0"/>
    </w:pPr>
    <w:rPr>
      <w:rFonts w:ascii="Arial" w:hAnsi="Arial" w:cs="Arial"/>
      <w:szCs w:val="24"/>
    </w:rPr>
  </w:style>
  <w:style w:type="paragraph" w:styleId="4">
    <w:name w:val="footer"/>
    <w:basedOn w:val="1"/>
    <w:unhideWhenUsed/>
    <w:qFormat/>
    <w:uiPriority w:val="99"/>
    <w:pPr>
      <w:tabs>
        <w:tab w:val="center" w:pos="4153"/>
        <w:tab w:val="right" w:pos="8306"/>
      </w:tabs>
      <w:snapToGrid w:val="0"/>
      <w:jc w:val="left"/>
    </w:pPr>
    <w:rPr>
      <w:sz w:val="18"/>
      <w:szCs w:val="18"/>
    </w:rPr>
  </w:style>
  <w:style w:type="paragraph" w:styleId="5">
    <w:name w:val="header"/>
    <w:basedOn w:val="1"/>
    <w:unhideWhenUsed/>
    <w:qFormat/>
    <w:uiPriority w:val="0"/>
    <w:pPr>
      <w:pBdr>
        <w:bottom w:val="single" w:color="auto" w:sz="6" w:space="1"/>
      </w:pBdr>
      <w:tabs>
        <w:tab w:val="center" w:pos="4153"/>
        <w:tab w:val="right" w:pos="8306"/>
      </w:tabs>
      <w:snapToGrid w:val="0"/>
      <w:jc w:val="center"/>
    </w:pPr>
    <w:rPr>
      <w:sz w:val="18"/>
      <w:szCs w:val="18"/>
    </w:rPr>
  </w:style>
  <w:style w:type="paragraph" w:styleId="6">
    <w:name w:val="List"/>
    <w:basedOn w:val="1"/>
    <w:qFormat/>
    <w:uiPriority w:val="0"/>
    <w:pPr>
      <w:ind w:left="200" w:hanging="200" w:hangingChars="200"/>
      <w:contextualSpacing/>
    </w:pPr>
  </w:style>
  <w:style w:type="paragraph" w:styleId="7">
    <w:name w:val="Body Text First Indent 2"/>
    <w:basedOn w:val="2"/>
    <w:next w:val="8"/>
    <w:qFormat/>
    <w:uiPriority w:val="0"/>
    <w:pPr>
      <w:ind w:firstLine="420"/>
    </w:pPr>
  </w:style>
  <w:style w:type="paragraph" w:customStyle="1" w:styleId="8">
    <w:name w:val="表格文字"/>
    <w:basedOn w:val="6"/>
    <w:next w:val="1"/>
    <w:autoRedefine/>
    <w:qFormat/>
    <w:uiPriority w:val="0"/>
    <w:pPr>
      <w:ind w:firstLine="0" w:firstLineChars="0"/>
      <w:jc w:val="center"/>
    </w:pPr>
    <w:rPr>
      <w:szCs w:val="20"/>
    </w:rPr>
  </w:style>
  <w:style w:type="paragraph" w:customStyle="1" w:styleId="11">
    <w:name w:val="正文文本2"/>
    <w:basedOn w:val="1"/>
    <w:autoRedefine/>
    <w:qFormat/>
    <w:uiPriority w:val="0"/>
    <w:pPr>
      <w:autoSpaceDE w:val="0"/>
      <w:autoSpaceDN w:val="0"/>
      <w:jc w:val="left"/>
    </w:pPr>
    <w:rPr>
      <w:rFonts w:ascii="宋体" w:hAnsi="宋体"/>
      <w:kern w:val="0"/>
      <w:sz w:val="20"/>
      <w:szCs w:val="21"/>
      <w:lang w:val="zh-CN"/>
    </w:rPr>
  </w:style>
  <w:style w:type="paragraph" w:styleId="12">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4892</Words>
  <Characters>5417</Characters>
  <Lines>0</Lines>
  <Paragraphs>0</Paragraphs>
  <TotalTime>1</TotalTime>
  <ScaleCrop>false</ScaleCrop>
  <LinksUpToDate>false</LinksUpToDate>
  <CharactersWithSpaces>5432</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2026-06-12T09:36:00Z</dcterms:created>
  <dc:creator>Old boy</dc:creator>
  <cp:lastModifiedBy>韩梅17660167329</cp:lastModifiedBy>
  <dcterms:modified xsi:type="dcterms:W3CDTF">2026-08-12T10:21:58Z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8C45BE728C2749B09F436A319DD15425_13</vt:lpwstr>
  </property>
  <property fmtid="{D5CDD505-2E9C-101B-9397-08002B2CF9AE}" pid="4" name="KSOTemplateDocerSaveRecord">
    <vt:lpwstr>eyJoZGlkIjoiYWYyNmUzZTIxOTM2NWQ5NGQwNDYxODU3N2MzMjZhNzAiLCJ1c2VySWQiOiI5NjA4MzkzNTgifQ==</vt:lpwstr>
  </property>
</Properties>
</file>