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r>
        <w:rPr>
          <w:rFonts w:hint="eastAsia" w:ascii="宋体" w:hAnsi="宋体" w:eastAsia="宋体" w:cs="宋体"/>
          <w:b/>
          <w:color w:val="auto"/>
          <w:kern w:val="2"/>
          <w:sz w:val="28"/>
          <w:szCs w:val="28"/>
          <w:highlight w:val="none"/>
          <w:lang w:val="en-US" w:bidi="en-US"/>
        </w:rPr>
        <w:t>招标公告附件</w:t>
      </w:r>
    </w:p>
    <w:bookmarkEnd w:id="0"/>
    <w:tbl>
      <w:tblPr>
        <w:tblStyle w:val="9"/>
        <w:tblW w:w="49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9"/>
        <w:gridCol w:w="1486"/>
        <w:gridCol w:w="3412"/>
        <w:gridCol w:w="1004"/>
        <w:gridCol w:w="822"/>
        <w:gridCol w:w="1239"/>
        <w:gridCol w:w="1474"/>
        <w:gridCol w:w="1334"/>
        <w:gridCol w:w="1940"/>
      </w:tblGrid>
      <w:tr w14:paraId="7F81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457" w:type="pct"/>
            <w:noWrap w:val="0"/>
            <w:vAlign w:val="center"/>
          </w:tcPr>
          <w:p w14:paraId="0AE6E687">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项目名称</w:t>
            </w:r>
          </w:p>
        </w:tc>
        <w:tc>
          <w:tcPr>
            <w:tcW w:w="531" w:type="pct"/>
            <w:noWrap w:val="0"/>
            <w:vAlign w:val="center"/>
          </w:tcPr>
          <w:p w14:paraId="67FBED76">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物资名称</w:t>
            </w:r>
          </w:p>
        </w:tc>
        <w:tc>
          <w:tcPr>
            <w:tcW w:w="1219" w:type="pct"/>
            <w:noWrap w:val="0"/>
            <w:vAlign w:val="center"/>
          </w:tcPr>
          <w:p w14:paraId="3D342A32">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主要技术要求</w:t>
            </w:r>
          </w:p>
        </w:tc>
        <w:tc>
          <w:tcPr>
            <w:tcW w:w="358" w:type="pct"/>
            <w:noWrap w:val="0"/>
            <w:vAlign w:val="center"/>
          </w:tcPr>
          <w:p w14:paraId="112DAAA8">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单位</w:t>
            </w:r>
          </w:p>
        </w:tc>
        <w:tc>
          <w:tcPr>
            <w:tcW w:w="293" w:type="pct"/>
            <w:noWrap w:val="0"/>
            <w:vAlign w:val="center"/>
          </w:tcPr>
          <w:p w14:paraId="637B1F51">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数量</w:t>
            </w:r>
          </w:p>
        </w:tc>
        <w:tc>
          <w:tcPr>
            <w:tcW w:w="442" w:type="pct"/>
            <w:shd w:val="clear" w:color="auto" w:fill="FF0000"/>
            <w:noWrap w:val="0"/>
            <w:vAlign w:val="center"/>
          </w:tcPr>
          <w:p w14:paraId="3A2E1ACC">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交货日期</w:t>
            </w:r>
          </w:p>
        </w:tc>
        <w:tc>
          <w:tcPr>
            <w:tcW w:w="526" w:type="pct"/>
            <w:shd w:val="clear" w:color="auto" w:fill="auto"/>
            <w:noWrap w:val="0"/>
            <w:vAlign w:val="center"/>
          </w:tcPr>
          <w:p w14:paraId="0E9212D0">
            <w:pPr>
              <w:widowControl/>
              <w:jc w:val="center"/>
              <w:rPr>
                <w:rFonts w:hint="eastAsia" w:ascii="宋体" w:hAnsi="宋体" w:eastAsia="宋体" w:cs="宋体"/>
                <w:b/>
                <w:bCs/>
                <w:kern w:val="0"/>
                <w:sz w:val="24"/>
                <w:szCs w:val="24"/>
                <w:highlight w:val="none"/>
                <w:lang w:eastAsia="zh-CN"/>
              </w:rPr>
            </w:pPr>
            <w:r>
              <w:rPr>
                <w:rFonts w:hint="eastAsia" w:ascii="宋体" w:hAnsi="宋体" w:eastAsia="宋体" w:cs="宋体"/>
                <w:b/>
                <w:bCs/>
                <w:kern w:val="0"/>
                <w:sz w:val="24"/>
                <w:szCs w:val="24"/>
                <w:highlight w:val="none"/>
              </w:rPr>
              <w:t>质保期</w:t>
            </w:r>
            <w:r>
              <w:rPr>
                <w:rFonts w:hint="eastAsia" w:ascii="宋体" w:hAnsi="宋体" w:eastAsia="宋体" w:cs="宋体"/>
                <w:b/>
                <w:bCs/>
                <w:kern w:val="0"/>
                <w:sz w:val="24"/>
                <w:szCs w:val="24"/>
                <w:highlight w:val="none"/>
                <w:lang w:eastAsia="zh-CN"/>
              </w:rPr>
              <w:t>（</w:t>
            </w:r>
            <w:r>
              <w:rPr>
                <w:rFonts w:hint="eastAsia" w:ascii="宋体" w:hAnsi="宋体" w:eastAsia="宋体" w:cs="宋体"/>
                <w:b/>
                <w:bCs/>
                <w:kern w:val="0"/>
                <w:sz w:val="24"/>
                <w:szCs w:val="24"/>
                <w:highlight w:val="none"/>
                <w:lang w:val="en-US" w:eastAsia="zh-CN"/>
              </w:rPr>
              <w:t>不低于</w:t>
            </w:r>
            <w:r>
              <w:rPr>
                <w:rFonts w:hint="eastAsia" w:ascii="宋体" w:hAnsi="宋体" w:eastAsia="宋体" w:cs="宋体"/>
                <w:b/>
                <w:bCs/>
                <w:kern w:val="0"/>
                <w:sz w:val="24"/>
                <w:szCs w:val="24"/>
                <w:highlight w:val="none"/>
                <w:lang w:eastAsia="zh-CN"/>
              </w:rPr>
              <w:t>）</w:t>
            </w:r>
          </w:p>
        </w:tc>
        <w:tc>
          <w:tcPr>
            <w:tcW w:w="476" w:type="pct"/>
            <w:noWrap w:val="0"/>
            <w:vAlign w:val="center"/>
          </w:tcPr>
          <w:p w14:paraId="6B1633B4">
            <w:pPr>
              <w:widowControl/>
              <w:jc w:val="center"/>
              <w:rPr>
                <w:rFonts w:hint="eastAsia" w:ascii="宋体" w:hAnsi="宋体" w:eastAsia="宋体" w:cs="宋体"/>
                <w:b/>
                <w:bCs/>
                <w:kern w:val="0"/>
                <w:sz w:val="24"/>
                <w:szCs w:val="24"/>
                <w:highlight w:val="none"/>
              </w:rPr>
            </w:pPr>
            <w:r>
              <w:rPr>
                <w:rFonts w:hint="eastAsia" w:ascii="宋体" w:hAnsi="宋体" w:eastAsia="宋体" w:cs="宋体"/>
                <w:b/>
                <w:bCs/>
                <w:kern w:val="0"/>
                <w:sz w:val="24"/>
                <w:szCs w:val="24"/>
                <w:highlight w:val="none"/>
              </w:rPr>
              <w:t>交货地点</w:t>
            </w:r>
          </w:p>
        </w:tc>
        <w:tc>
          <w:tcPr>
            <w:tcW w:w="693" w:type="pct"/>
            <w:noWrap w:val="0"/>
            <w:vAlign w:val="center"/>
          </w:tcPr>
          <w:p w14:paraId="09795716">
            <w:pPr>
              <w:widowControl/>
              <w:jc w:val="center"/>
              <w:rPr>
                <w:rFonts w:hint="eastAsia" w:ascii="宋体" w:hAnsi="宋体" w:eastAsia="宋体" w:cs="宋体"/>
                <w:b/>
                <w:bCs/>
                <w:kern w:val="0"/>
                <w:sz w:val="24"/>
                <w:szCs w:val="24"/>
                <w:highlight w:val="none"/>
                <w:lang w:val="en-US" w:eastAsia="zh-CN"/>
              </w:rPr>
            </w:pPr>
            <w:r>
              <w:rPr>
                <w:rFonts w:hint="eastAsia" w:ascii="宋体" w:hAnsi="宋体" w:eastAsia="宋体" w:cs="宋体"/>
                <w:b/>
                <w:bCs/>
                <w:kern w:val="0"/>
                <w:sz w:val="24"/>
                <w:szCs w:val="24"/>
                <w:highlight w:val="none"/>
                <w:lang w:val="en-US" w:eastAsia="zh-CN"/>
              </w:rPr>
              <w:t>专用业绩要求</w:t>
            </w:r>
          </w:p>
        </w:tc>
      </w:tr>
      <w:tr w14:paraId="3BFF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1" w:hRule="atLeast"/>
          <w:jc w:val="center"/>
        </w:trPr>
        <w:tc>
          <w:tcPr>
            <w:tcW w:w="457" w:type="pct"/>
            <w:vMerge w:val="restart"/>
            <w:shd w:val="clear" w:color="auto" w:fill="auto"/>
            <w:noWrap w:val="0"/>
            <w:vAlign w:val="center"/>
          </w:tcPr>
          <w:p w14:paraId="3F7416D4">
            <w:pPr>
              <w:widowControl/>
              <w:jc w:val="center"/>
              <w:rPr>
                <w:rFonts w:hint="eastAsia" w:ascii="宋体" w:hAnsi="宋体" w:eastAsia="宋体" w:cs="宋体"/>
                <w:kern w:val="0"/>
                <w:sz w:val="24"/>
                <w:szCs w:val="24"/>
                <w:highlight w:val="none"/>
              </w:rPr>
            </w:pPr>
            <w:r>
              <w:rPr>
                <w:rFonts w:hint="eastAsia" w:ascii="宋体" w:hAnsi="宋体" w:eastAsia="宋体" w:cs="宋体"/>
                <w:b w:val="0"/>
                <w:bCs w:val="0"/>
                <w:color w:val="000000"/>
                <w:sz w:val="24"/>
                <w:szCs w:val="24"/>
                <w:highlight w:val="none"/>
                <w:lang w:val="en-US" w:eastAsia="zh-CN"/>
              </w:rPr>
              <w:t>智慧分析单元、巡视单元等采购项目</w:t>
            </w:r>
          </w:p>
        </w:tc>
        <w:tc>
          <w:tcPr>
            <w:tcW w:w="531" w:type="pct"/>
            <w:shd w:val="clear" w:color="auto" w:fill="auto"/>
            <w:noWrap w:val="0"/>
            <w:vAlign w:val="center"/>
          </w:tcPr>
          <w:p w14:paraId="77766C9E">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智慧分析单元</w:t>
            </w:r>
          </w:p>
        </w:tc>
        <w:tc>
          <w:tcPr>
            <w:tcW w:w="1219" w:type="pct"/>
            <w:shd w:val="clear" w:color="auto" w:fill="auto"/>
            <w:noWrap w:val="0"/>
            <w:vAlign w:val="center"/>
          </w:tcPr>
          <w:p w14:paraId="7F238235">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CPU不低于2GHz，不低于16核；</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内存不低于128GB；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配置双热插拔冗余电源；</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智能分析模组AI算力不低于256TOPS INT8；</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存储不低于2TB；</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2*1GE PCIE标准网卡；</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满足电力标准机柜（2260*800*600）安装</w:t>
            </w:r>
          </w:p>
        </w:tc>
        <w:tc>
          <w:tcPr>
            <w:tcW w:w="358" w:type="pct"/>
            <w:shd w:val="clear" w:color="000000" w:fill="FFFFFF"/>
            <w:noWrap w:val="0"/>
            <w:vAlign w:val="center"/>
          </w:tcPr>
          <w:p w14:paraId="517E3A5B">
            <w:pPr>
              <w:keepNext w:val="0"/>
              <w:keepLines w:val="0"/>
              <w:widowControl/>
              <w:suppressLineNumbers w:val="0"/>
              <w:jc w:val="center"/>
              <w:textAlignment w:val="center"/>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台</w:t>
            </w:r>
          </w:p>
        </w:tc>
        <w:tc>
          <w:tcPr>
            <w:tcW w:w="293" w:type="pct"/>
            <w:shd w:val="clear" w:color="000000" w:fill="FFFFFF"/>
            <w:noWrap w:val="0"/>
            <w:vAlign w:val="center"/>
          </w:tcPr>
          <w:p w14:paraId="71E7D4E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442" w:type="pct"/>
            <w:shd w:val="clear" w:color="auto" w:fill="FF0000"/>
            <w:noWrap w:val="0"/>
            <w:vAlign w:val="center"/>
          </w:tcPr>
          <w:p w14:paraId="2093F7CF">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526" w:type="pct"/>
            <w:shd w:val="clear" w:color="auto" w:fill="auto"/>
            <w:noWrap w:val="0"/>
            <w:vAlign w:val="center"/>
          </w:tcPr>
          <w:p w14:paraId="263F3AD2">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36个月</w:t>
            </w:r>
          </w:p>
        </w:tc>
        <w:tc>
          <w:tcPr>
            <w:tcW w:w="476" w:type="pct"/>
            <w:noWrap w:val="0"/>
            <w:vAlign w:val="center"/>
          </w:tcPr>
          <w:p w14:paraId="5AEFCEDB">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693" w:type="pct"/>
            <w:vMerge w:val="restart"/>
            <w:noWrap w:val="0"/>
            <w:vAlign w:val="center"/>
          </w:tcPr>
          <w:p w14:paraId="1D3CF131">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bCs/>
                <w:color w:val="auto"/>
                <w:kern w:val="0"/>
                <w:sz w:val="24"/>
                <w:szCs w:val="24"/>
                <w:highlight w:val="none"/>
              </w:rPr>
              <w:t>业绩要求</w:t>
            </w:r>
            <w:r>
              <w:rPr>
                <w:rFonts w:hint="eastAsia" w:ascii="宋体" w:hAnsi="宋体" w:cs="宋体"/>
                <w:b/>
                <w:bCs/>
                <w:color w:val="auto"/>
                <w:kern w:val="0"/>
                <w:sz w:val="24"/>
                <w:szCs w:val="24"/>
                <w:highlight w:val="none"/>
                <w:lang w:eastAsia="zh-CN"/>
              </w:rPr>
              <w:t>：</w:t>
            </w: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年1月1日至</w:t>
            </w:r>
            <w:r>
              <w:rPr>
                <w:rFonts w:hint="eastAsia" w:ascii="宋体" w:hAnsi="宋体" w:eastAsia="宋体" w:cs="宋体"/>
                <w:color w:val="auto"/>
                <w:kern w:val="0"/>
                <w:sz w:val="24"/>
                <w:szCs w:val="24"/>
                <w:highlight w:val="none"/>
                <w:lang w:val="en-US" w:eastAsia="zh-CN"/>
              </w:rPr>
              <w:t>2025年12月31日</w:t>
            </w:r>
            <w:r>
              <w:rPr>
                <w:rFonts w:hint="eastAsia" w:ascii="宋体" w:hAnsi="宋体" w:eastAsia="宋体" w:cs="宋体"/>
                <w:color w:val="auto"/>
                <w:kern w:val="0"/>
                <w:sz w:val="24"/>
                <w:szCs w:val="24"/>
                <w:highlight w:val="none"/>
              </w:rPr>
              <w:t>止，完成过</w:t>
            </w:r>
            <w:r>
              <w:rPr>
                <w:rFonts w:hint="eastAsia" w:ascii="宋体" w:hAnsi="宋体" w:eastAsia="宋体" w:cs="宋体"/>
                <w:color w:val="auto"/>
                <w:kern w:val="0"/>
                <w:sz w:val="24"/>
                <w:szCs w:val="24"/>
                <w:highlight w:val="none"/>
                <w:lang w:val="en-US" w:eastAsia="zh-CN"/>
              </w:rPr>
              <w:t>辅控系统</w:t>
            </w:r>
            <w:r>
              <w:rPr>
                <w:rFonts w:hint="eastAsia" w:ascii="宋体" w:hAnsi="宋体" w:eastAsia="宋体" w:cs="宋体"/>
                <w:color w:val="auto"/>
                <w:kern w:val="0"/>
                <w:sz w:val="24"/>
                <w:szCs w:val="24"/>
                <w:highlight w:val="none"/>
              </w:rPr>
              <w:t>或</w:t>
            </w:r>
            <w:r>
              <w:rPr>
                <w:rFonts w:hint="eastAsia" w:ascii="宋体" w:hAnsi="宋体" w:eastAsia="宋体" w:cs="宋体"/>
                <w:color w:val="auto"/>
                <w:kern w:val="0"/>
                <w:sz w:val="24"/>
                <w:szCs w:val="24"/>
                <w:highlight w:val="none"/>
                <w:lang w:val="en-US" w:eastAsia="zh-CN"/>
              </w:rPr>
              <w:t>智巡系统</w:t>
            </w:r>
            <w:r>
              <w:rPr>
                <w:rFonts w:hint="eastAsia" w:ascii="宋体" w:hAnsi="宋体" w:eastAsia="宋体" w:cs="宋体"/>
                <w:color w:val="auto"/>
                <w:kern w:val="0"/>
                <w:sz w:val="24"/>
                <w:szCs w:val="24"/>
                <w:highlight w:val="none"/>
              </w:rPr>
              <w:t>或组部件（服务器）销售业绩累计金额不低于</w:t>
            </w:r>
            <w:r>
              <w:rPr>
                <w:rFonts w:hint="eastAsia" w:ascii="宋体" w:hAnsi="宋体" w:eastAsia="宋体" w:cs="宋体"/>
                <w:color w:val="auto"/>
                <w:kern w:val="0"/>
                <w:sz w:val="24"/>
                <w:szCs w:val="24"/>
                <w:highlight w:val="none"/>
                <w:lang w:val="en-US" w:eastAsia="zh-CN"/>
              </w:rPr>
              <w:t>350</w:t>
            </w:r>
            <w:r>
              <w:rPr>
                <w:rFonts w:hint="eastAsia" w:ascii="宋体" w:hAnsi="宋体" w:eastAsia="宋体" w:cs="宋体"/>
                <w:color w:val="auto"/>
                <w:kern w:val="0"/>
                <w:sz w:val="24"/>
                <w:szCs w:val="24"/>
                <w:highlight w:val="none"/>
              </w:rPr>
              <w:t>万元。注:业绩必须提供对应的合同复印件、发票和相应查验截图。</w:t>
            </w:r>
          </w:p>
        </w:tc>
      </w:tr>
      <w:tr w14:paraId="161C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6" w:hRule="atLeast"/>
          <w:jc w:val="center"/>
        </w:trPr>
        <w:tc>
          <w:tcPr>
            <w:tcW w:w="457" w:type="pct"/>
            <w:vMerge w:val="continue"/>
            <w:shd w:val="clear" w:color="auto" w:fill="auto"/>
            <w:noWrap w:val="0"/>
            <w:vAlign w:val="center"/>
          </w:tcPr>
          <w:p w14:paraId="49ED9E00">
            <w:pPr>
              <w:widowControl/>
              <w:jc w:val="center"/>
              <w:rPr>
                <w:rFonts w:hint="eastAsia" w:ascii="宋体" w:hAnsi="宋体" w:eastAsia="宋体" w:cs="宋体"/>
                <w:kern w:val="0"/>
                <w:sz w:val="24"/>
                <w:szCs w:val="24"/>
                <w:highlight w:val="none"/>
              </w:rPr>
            </w:pPr>
          </w:p>
        </w:tc>
        <w:tc>
          <w:tcPr>
            <w:tcW w:w="531" w:type="pct"/>
            <w:shd w:val="clear" w:color="auto" w:fill="auto"/>
            <w:noWrap w:val="0"/>
            <w:vAlign w:val="center"/>
          </w:tcPr>
          <w:p w14:paraId="7A17DD14">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智慧巡视单元</w:t>
            </w:r>
          </w:p>
        </w:tc>
        <w:tc>
          <w:tcPr>
            <w:tcW w:w="1219" w:type="pct"/>
            <w:shd w:val="clear" w:color="auto" w:fill="auto"/>
            <w:noWrap w:val="0"/>
            <w:vAlign w:val="center"/>
          </w:tcPr>
          <w:p w14:paraId="2863926D">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CPU不低于2GHz，不低于16核；</w:t>
            </w:r>
          </w:p>
          <w:p w14:paraId="48538234">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内存不低于64G；</w:t>
            </w:r>
          </w:p>
          <w:p w14:paraId="395327AA">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存储不低于10TB；</w:t>
            </w:r>
          </w:p>
          <w:p w14:paraId="4AD7A75C">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2*1GE PCIE标准网卡；</w:t>
            </w:r>
          </w:p>
          <w:p w14:paraId="424B504D">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配置双热插拔冗余电源；</w:t>
            </w:r>
          </w:p>
          <w:p w14:paraId="1119A5C6">
            <w:pPr>
              <w:keepNext w:val="0"/>
              <w:keepLines w:val="0"/>
              <w:widowControl/>
              <w:suppressLineNumbers w:val="0"/>
              <w:jc w:val="left"/>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满足电力标准机柜（2260*800*600）安装</w:t>
            </w:r>
          </w:p>
        </w:tc>
        <w:tc>
          <w:tcPr>
            <w:tcW w:w="358" w:type="pct"/>
            <w:shd w:val="clear" w:color="000000" w:fill="FFFFFF"/>
            <w:noWrap w:val="0"/>
            <w:vAlign w:val="center"/>
          </w:tcPr>
          <w:p w14:paraId="4C96A8A4">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台</w:t>
            </w:r>
          </w:p>
        </w:tc>
        <w:tc>
          <w:tcPr>
            <w:tcW w:w="293" w:type="pct"/>
            <w:shd w:val="clear" w:color="000000" w:fill="FFFFFF"/>
            <w:noWrap w:val="0"/>
            <w:vAlign w:val="center"/>
          </w:tcPr>
          <w:p w14:paraId="213E56AE">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32</w:t>
            </w:r>
          </w:p>
        </w:tc>
        <w:tc>
          <w:tcPr>
            <w:tcW w:w="442" w:type="pct"/>
            <w:shd w:val="clear" w:color="auto" w:fill="FF0000"/>
            <w:noWrap w:val="0"/>
            <w:vAlign w:val="center"/>
          </w:tcPr>
          <w:p w14:paraId="549B4C1A">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接供货通知后20日内</w:t>
            </w:r>
          </w:p>
        </w:tc>
        <w:tc>
          <w:tcPr>
            <w:tcW w:w="526" w:type="pct"/>
            <w:shd w:val="clear" w:color="auto" w:fill="auto"/>
            <w:noWrap w:val="0"/>
            <w:vAlign w:val="center"/>
          </w:tcPr>
          <w:p w14:paraId="4ECE9EC5">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36个月</w:t>
            </w:r>
          </w:p>
        </w:tc>
        <w:tc>
          <w:tcPr>
            <w:tcW w:w="476" w:type="pct"/>
            <w:noWrap w:val="0"/>
            <w:vAlign w:val="center"/>
          </w:tcPr>
          <w:p w14:paraId="7AF39DAD">
            <w:pPr>
              <w:keepNext w:val="0"/>
              <w:keepLines w:val="0"/>
              <w:widowControl/>
              <w:suppressLineNumbers w:val="0"/>
              <w:jc w:val="center"/>
              <w:textAlignment w:val="center"/>
              <w:rPr>
                <w:rFonts w:hint="eastAsia" w:ascii="宋体" w:hAnsi="宋体" w:eastAsia="宋体" w:cs="宋体"/>
                <w:kern w:val="0"/>
                <w:sz w:val="24"/>
                <w:szCs w:val="24"/>
                <w:highlight w:val="none"/>
              </w:rPr>
            </w:pPr>
            <w:r>
              <w:rPr>
                <w:rFonts w:hint="eastAsia" w:ascii="宋体" w:hAnsi="宋体" w:eastAsia="宋体" w:cs="宋体"/>
                <w:i w:val="0"/>
                <w:iCs w:val="0"/>
                <w:color w:val="000000"/>
                <w:kern w:val="0"/>
                <w:sz w:val="24"/>
                <w:szCs w:val="24"/>
                <w:highlight w:val="none"/>
                <w:u w:val="none"/>
                <w:lang w:val="en-US" w:eastAsia="zh-CN" w:bidi="ar"/>
              </w:rPr>
              <w:t>买方指定地点</w:t>
            </w:r>
          </w:p>
        </w:tc>
        <w:tc>
          <w:tcPr>
            <w:tcW w:w="693" w:type="pct"/>
            <w:vMerge w:val="continue"/>
            <w:noWrap w:val="0"/>
            <w:vAlign w:val="center"/>
          </w:tcPr>
          <w:p w14:paraId="7E75F6B5">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p>
        </w:tc>
      </w:tr>
    </w:tbl>
    <w:p w14:paraId="1E84127F">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具体供货不局限于上述产品。应包括上述产品相关配件，类似升级产品。</w:t>
      </w:r>
    </w:p>
    <w:p w14:paraId="6BB4CF1D">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7992AA6C">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4DD2DFD"/>
    <w:rsid w:val="077A7DC3"/>
    <w:rsid w:val="07AF45F8"/>
    <w:rsid w:val="114F49C7"/>
    <w:rsid w:val="1ACD6485"/>
    <w:rsid w:val="1B42758B"/>
    <w:rsid w:val="1F4B3000"/>
    <w:rsid w:val="21482759"/>
    <w:rsid w:val="247A4BEB"/>
    <w:rsid w:val="37DC3A83"/>
    <w:rsid w:val="38CB6BFE"/>
    <w:rsid w:val="39333B77"/>
    <w:rsid w:val="4A5767AB"/>
    <w:rsid w:val="51D14780"/>
    <w:rsid w:val="525E5C4F"/>
    <w:rsid w:val="549C0FFA"/>
    <w:rsid w:val="584C1AF9"/>
    <w:rsid w:val="60601D56"/>
    <w:rsid w:val="60A719DD"/>
    <w:rsid w:val="6247029B"/>
    <w:rsid w:val="64D9319B"/>
    <w:rsid w:val="6FA8054B"/>
    <w:rsid w:val="77A61258"/>
    <w:rsid w:val="7C1E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 w:type="character" w:customStyle="1" w:styleId="14">
    <w:name w:val="font11"/>
    <w:basedOn w:val="10"/>
    <w:qFormat/>
    <w:uiPriority w:val="0"/>
    <w:rPr>
      <w:rFonts w:hint="eastAsia" w:ascii="宋体" w:hAnsi="宋体" w:eastAsia="宋体" w:cs="宋体"/>
      <w:color w:val="000000"/>
      <w:sz w:val="21"/>
      <w:szCs w:val="21"/>
      <w:u w:val="none"/>
    </w:rPr>
  </w:style>
  <w:style w:type="character" w:customStyle="1" w:styleId="15">
    <w:name w:val="font112"/>
    <w:basedOn w:val="10"/>
    <w:qFormat/>
    <w:uiPriority w:val="0"/>
    <w:rPr>
      <w:rFonts w:hint="eastAsia" w:ascii="宋体" w:hAnsi="宋体" w:eastAsia="宋体" w:cs="宋体"/>
      <w:color w:val="FF0000"/>
      <w:sz w:val="21"/>
      <w:szCs w:val="21"/>
      <w:u w:val="none"/>
    </w:rPr>
  </w:style>
  <w:style w:type="character" w:customStyle="1" w:styleId="16">
    <w:name w:val="font131"/>
    <w:basedOn w:val="10"/>
    <w:qFormat/>
    <w:uiPriority w:val="0"/>
    <w:rPr>
      <w:rFonts w:hint="default" w:ascii="Times New Roman" w:hAnsi="Times New Roman" w:cs="Times New Roman"/>
      <w:color w:val="000000"/>
      <w:sz w:val="21"/>
      <w:szCs w:val="21"/>
      <w:u w:val="none"/>
    </w:rPr>
  </w:style>
  <w:style w:type="character" w:customStyle="1" w:styleId="17">
    <w:name w:val="font61"/>
    <w:basedOn w:val="10"/>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5549</Words>
  <Characters>6176</Characters>
  <Lines>0</Lines>
  <Paragraphs>0</Paragraphs>
  <TotalTime>0</TotalTime>
  <ScaleCrop>false</ScaleCrop>
  <LinksUpToDate>false</LinksUpToDate>
  <CharactersWithSpaces>6198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韩梅17660167329</cp:lastModifiedBy>
  <dcterms:modified xsi:type="dcterms:W3CDTF">2026-08-12T10:30:24Z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C2005BCD74104AA3956A77E3C541439B_13</vt:lpwstr>
  </property>
  <property fmtid="{D5CDD505-2E9C-101B-9397-08002B2CF9AE}" pid="4" name="KSOTemplateDocerSaveRecord">
    <vt:lpwstr>eyJoZGlkIjoiYWYyNmUzZTIxOTM2NWQ5NGQwNDYxODU3N2MzMjZhNzAiLCJ1c2VySWQiOiI5NjA4MzkzNTgifQ==</vt:lpwstr>
  </property>
</Properties>
</file>