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C20293">
      <w:pPr>
        <w:keepNext w:val="0"/>
        <w:keepLines w:val="0"/>
        <w:pageBreakBefore w:val="0"/>
        <w:widowControl/>
        <w:shd w:val="clear"/>
        <w:kinsoku/>
        <w:wordWrap/>
        <w:overflowPunct/>
        <w:topLinePunct w:val="0"/>
        <w:bidi w:val="0"/>
        <w:adjustRightInd w:val="0"/>
        <w:snapToGrid w:val="0"/>
        <w:spacing w:before="0" w:beforeLines="-2147483648" w:after="0" w:afterLines="-2147483648" w:line="400" w:lineRule="exact"/>
        <w:jc w:val="left"/>
        <w:textAlignment w:val="auto"/>
        <w:outlineLvl w:val="1"/>
        <w:rPr>
          <w:rFonts w:hint="default" w:ascii="宋体" w:hAnsi="宋体" w:eastAsia="宋体" w:cs="宋体"/>
          <w:b/>
          <w:color w:val="auto"/>
          <w:kern w:val="2"/>
          <w:sz w:val="28"/>
          <w:szCs w:val="28"/>
          <w:highlight w:val="none"/>
          <w:lang w:val="en-US" w:bidi="en-US"/>
        </w:rPr>
      </w:pPr>
      <w:bookmarkStart w:id="0" w:name="_GoBack"/>
      <w:bookmarkEnd w:id="0"/>
      <w:r>
        <w:rPr>
          <w:rFonts w:hint="eastAsia" w:ascii="宋体" w:hAnsi="宋体" w:eastAsia="宋体" w:cs="宋体"/>
          <w:b/>
          <w:color w:val="auto"/>
          <w:kern w:val="2"/>
          <w:sz w:val="28"/>
          <w:szCs w:val="28"/>
          <w:highlight w:val="none"/>
          <w:lang w:val="en-US" w:bidi="en-US"/>
        </w:rPr>
        <w:t>招标公告附件</w:t>
      </w:r>
    </w:p>
    <w:tbl>
      <w:tblPr>
        <w:tblStyle w:val="9"/>
        <w:tblW w:w="138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6"/>
        <w:gridCol w:w="1264"/>
        <w:gridCol w:w="3098"/>
        <w:gridCol w:w="1083"/>
        <w:gridCol w:w="793"/>
        <w:gridCol w:w="1283"/>
        <w:gridCol w:w="1674"/>
        <w:gridCol w:w="1253"/>
        <w:gridCol w:w="2061"/>
      </w:tblGrid>
      <w:tr w14:paraId="0668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1306" w:type="dxa"/>
            <w:tcBorders>
              <w:top w:val="single" w:color="auto" w:sz="4" w:space="0"/>
              <w:left w:val="single" w:color="auto" w:sz="4" w:space="0"/>
              <w:bottom w:val="single" w:color="auto" w:sz="4" w:space="0"/>
              <w:right w:val="single" w:color="auto" w:sz="4" w:space="0"/>
            </w:tcBorders>
            <w:vAlign w:val="center"/>
          </w:tcPr>
          <w:p w14:paraId="250B4EF5">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项目名称</w:t>
            </w:r>
          </w:p>
        </w:tc>
        <w:tc>
          <w:tcPr>
            <w:tcW w:w="1264" w:type="dxa"/>
            <w:tcBorders>
              <w:top w:val="single" w:color="auto" w:sz="4" w:space="0"/>
              <w:left w:val="single" w:color="auto" w:sz="4" w:space="0"/>
              <w:bottom w:val="single" w:color="auto" w:sz="4" w:space="0"/>
              <w:right w:val="single" w:color="auto" w:sz="4" w:space="0"/>
            </w:tcBorders>
            <w:vAlign w:val="center"/>
          </w:tcPr>
          <w:p w14:paraId="21D7B461">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物资名称</w:t>
            </w:r>
          </w:p>
        </w:tc>
        <w:tc>
          <w:tcPr>
            <w:tcW w:w="3098" w:type="dxa"/>
            <w:tcBorders>
              <w:top w:val="single" w:color="auto" w:sz="4" w:space="0"/>
              <w:left w:val="single" w:color="auto" w:sz="4" w:space="0"/>
              <w:bottom w:val="single" w:color="auto" w:sz="4" w:space="0"/>
              <w:right w:val="single" w:color="auto" w:sz="4" w:space="0"/>
            </w:tcBorders>
            <w:vAlign w:val="center"/>
          </w:tcPr>
          <w:p w14:paraId="18EFEF83">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主要技术要求</w:t>
            </w:r>
          </w:p>
        </w:tc>
        <w:tc>
          <w:tcPr>
            <w:tcW w:w="1083" w:type="dxa"/>
            <w:tcBorders>
              <w:top w:val="single" w:color="auto" w:sz="4" w:space="0"/>
              <w:left w:val="single" w:color="auto" w:sz="4" w:space="0"/>
              <w:bottom w:val="single" w:color="auto" w:sz="4" w:space="0"/>
              <w:right w:val="single" w:color="auto" w:sz="4" w:space="0"/>
            </w:tcBorders>
            <w:vAlign w:val="center"/>
          </w:tcPr>
          <w:p w14:paraId="066F7989">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单位</w:t>
            </w:r>
          </w:p>
        </w:tc>
        <w:tc>
          <w:tcPr>
            <w:tcW w:w="793" w:type="dxa"/>
            <w:tcBorders>
              <w:top w:val="single" w:color="auto" w:sz="4" w:space="0"/>
              <w:left w:val="single" w:color="auto" w:sz="4" w:space="0"/>
              <w:bottom w:val="single" w:color="auto" w:sz="4" w:space="0"/>
              <w:right w:val="single" w:color="auto" w:sz="4" w:space="0"/>
            </w:tcBorders>
            <w:vAlign w:val="center"/>
          </w:tcPr>
          <w:p w14:paraId="5D75D0B6">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数量</w:t>
            </w:r>
          </w:p>
        </w:tc>
        <w:tc>
          <w:tcPr>
            <w:tcW w:w="1283" w:type="dxa"/>
            <w:tcBorders>
              <w:top w:val="single" w:color="auto" w:sz="4" w:space="0"/>
              <w:left w:val="single" w:color="auto" w:sz="4" w:space="0"/>
              <w:bottom w:val="single" w:color="auto" w:sz="4" w:space="0"/>
              <w:right w:val="single" w:color="auto" w:sz="4" w:space="0"/>
            </w:tcBorders>
            <w:shd w:val="clear" w:color="auto" w:fill="FF0000"/>
            <w:vAlign w:val="center"/>
          </w:tcPr>
          <w:p w14:paraId="7E5F8C64">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交货日期</w:t>
            </w:r>
          </w:p>
        </w:tc>
        <w:tc>
          <w:tcPr>
            <w:tcW w:w="1674" w:type="dxa"/>
            <w:tcBorders>
              <w:top w:val="single" w:color="auto" w:sz="4" w:space="0"/>
              <w:left w:val="single" w:color="auto" w:sz="4" w:space="0"/>
              <w:bottom w:val="single" w:color="auto" w:sz="4" w:space="0"/>
              <w:right w:val="single" w:color="auto" w:sz="4" w:space="0"/>
            </w:tcBorders>
            <w:vAlign w:val="center"/>
          </w:tcPr>
          <w:p w14:paraId="69E1F25B">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质保期（不低于）</w:t>
            </w:r>
          </w:p>
        </w:tc>
        <w:tc>
          <w:tcPr>
            <w:tcW w:w="1253" w:type="dxa"/>
            <w:tcBorders>
              <w:top w:val="single" w:color="auto" w:sz="4" w:space="0"/>
              <w:left w:val="single" w:color="auto" w:sz="4" w:space="0"/>
              <w:bottom w:val="single" w:color="auto" w:sz="4" w:space="0"/>
              <w:right w:val="single" w:color="auto" w:sz="4" w:space="0"/>
            </w:tcBorders>
            <w:vAlign w:val="center"/>
          </w:tcPr>
          <w:p w14:paraId="4FB26546">
            <w:pPr>
              <w:widowControl/>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交货地点</w:t>
            </w:r>
          </w:p>
        </w:tc>
        <w:tc>
          <w:tcPr>
            <w:tcW w:w="2061" w:type="dxa"/>
            <w:tcBorders>
              <w:top w:val="single" w:color="auto" w:sz="4" w:space="0"/>
              <w:left w:val="single" w:color="auto" w:sz="4" w:space="0"/>
              <w:bottom w:val="single" w:color="auto" w:sz="4" w:space="0"/>
              <w:right w:val="single" w:color="auto" w:sz="4" w:space="0"/>
            </w:tcBorders>
            <w:vAlign w:val="center"/>
          </w:tcPr>
          <w:p w14:paraId="29E0FD6D">
            <w:pPr>
              <w:widowControl/>
              <w:jc w:val="center"/>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专用业绩要求</w:t>
            </w:r>
          </w:p>
        </w:tc>
      </w:tr>
      <w:tr w14:paraId="0DE1D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26" w:hRule="atLeast"/>
          <w:jc w:val="center"/>
        </w:trPr>
        <w:tc>
          <w:tcPr>
            <w:tcW w:w="1306" w:type="dxa"/>
            <w:vMerge w:val="restart"/>
            <w:tcBorders>
              <w:top w:val="single" w:color="auto" w:sz="4" w:space="0"/>
              <w:left w:val="single" w:color="auto" w:sz="4" w:space="0"/>
              <w:right w:val="single" w:color="auto" w:sz="4" w:space="0"/>
            </w:tcBorders>
            <w:vAlign w:val="center"/>
          </w:tcPr>
          <w:p w14:paraId="2B28848A">
            <w:pPr>
              <w:pStyle w:val="20"/>
              <w:tabs>
                <w:tab w:val="left" w:pos="1620"/>
                <w:tab w:val="left" w:pos="7200"/>
              </w:tabs>
              <w:snapToGrid w:val="0"/>
              <w:spacing w:before="0" w:after="0" w:line="240" w:lineRule="auto"/>
              <w:jc w:val="center"/>
              <w:rPr>
                <w:rFonts w:hint="eastAsia" w:ascii="宋体" w:hAnsi="宋体" w:eastAsia="宋体" w:cs="宋体"/>
                <w:sz w:val="24"/>
                <w:szCs w:val="24"/>
                <w:lang w:bidi="ar"/>
              </w:rPr>
            </w:pPr>
            <w:r>
              <w:rPr>
                <w:rFonts w:hint="eastAsia" w:ascii="宋体" w:hAnsi="宋体" w:eastAsia="宋体" w:cs="宋体"/>
                <w:sz w:val="24"/>
                <w:szCs w:val="24"/>
                <w:lang w:bidi="ar"/>
              </w:rPr>
              <w:t>站端处理单元控制模块等采购项目</w:t>
            </w:r>
          </w:p>
        </w:tc>
        <w:tc>
          <w:tcPr>
            <w:tcW w:w="1264" w:type="dxa"/>
            <w:tcBorders>
              <w:top w:val="single" w:color="auto" w:sz="4" w:space="0"/>
              <w:left w:val="single" w:color="auto" w:sz="4" w:space="0"/>
              <w:bottom w:val="single" w:color="auto" w:sz="4" w:space="0"/>
              <w:right w:val="single" w:color="auto" w:sz="4" w:space="0"/>
            </w:tcBorders>
            <w:vAlign w:val="center"/>
          </w:tcPr>
          <w:p w14:paraId="5FE0FF9F">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站端处理单元控制模块</w:t>
            </w:r>
          </w:p>
        </w:tc>
        <w:tc>
          <w:tcPr>
            <w:tcW w:w="3098" w:type="dxa"/>
            <w:tcBorders>
              <w:top w:val="single" w:color="auto" w:sz="4" w:space="0"/>
              <w:left w:val="single" w:color="auto" w:sz="4" w:space="0"/>
              <w:bottom w:val="single" w:color="auto" w:sz="4" w:space="0"/>
              <w:right w:val="single" w:color="auto" w:sz="4" w:space="0"/>
            </w:tcBorders>
            <w:vAlign w:val="center"/>
          </w:tcPr>
          <w:p w14:paraId="2D97BFBA">
            <w:pPr>
              <w:keepNext w:val="0"/>
              <w:keepLines w:val="0"/>
              <w:widowControl/>
              <w:suppressLineNumbers w:val="0"/>
              <w:jc w:val="left"/>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搭载安全版Linux操作系统，中文操作界面，支持单鼠标操作，满足网络安全规范要求</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网络配置≥4个千兆以太网口；硬盘扩容能力≥16盘位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采用多核处理器，标配16GB内存，支持最大扩展至32GB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内置≥1个智能分析模块，包含4个GPU模块，单GPU（INT8）算力≥22TOPS</w:t>
            </w:r>
          </w:p>
        </w:tc>
        <w:tc>
          <w:tcPr>
            <w:tcW w:w="1083" w:type="dxa"/>
            <w:tcBorders>
              <w:top w:val="single" w:color="auto" w:sz="4" w:space="0"/>
              <w:left w:val="single" w:color="auto" w:sz="4" w:space="0"/>
              <w:bottom w:val="single" w:color="auto" w:sz="4" w:space="0"/>
              <w:right w:val="single" w:color="auto" w:sz="4" w:space="0"/>
            </w:tcBorders>
            <w:vAlign w:val="center"/>
          </w:tcPr>
          <w:p w14:paraId="414ED95C">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套</w:t>
            </w:r>
          </w:p>
        </w:tc>
        <w:tc>
          <w:tcPr>
            <w:tcW w:w="793" w:type="dxa"/>
            <w:tcBorders>
              <w:top w:val="single" w:color="auto" w:sz="4" w:space="0"/>
              <w:left w:val="single" w:color="auto" w:sz="4" w:space="0"/>
              <w:bottom w:val="single" w:color="auto" w:sz="4" w:space="0"/>
              <w:right w:val="single" w:color="auto" w:sz="4" w:space="0"/>
            </w:tcBorders>
            <w:vAlign w:val="center"/>
          </w:tcPr>
          <w:p w14:paraId="6EFABCD7">
            <w:pPr>
              <w:keepNext w:val="0"/>
              <w:keepLines w:val="0"/>
              <w:widowControl/>
              <w:suppressLineNumbers w:val="0"/>
              <w:jc w:val="center"/>
              <w:textAlignment w:val="center"/>
              <w:rPr>
                <w:rFonts w:hint="eastAsia" w:ascii="宋体" w:hAnsi="宋体" w:eastAsia="宋体" w:cs="宋体"/>
                <w:sz w:val="24"/>
                <w:szCs w:val="24"/>
                <w:lang w:eastAsia="zh-CN" w:bidi="ar"/>
              </w:rPr>
            </w:pPr>
            <w:r>
              <w:rPr>
                <w:rFonts w:hint="eastAsia" w:ascii="宋体" w:hAnsi="宋体" w:eastAsia="宋体" w:cs="宋体"/>
                <w:i w:val="0"/>
                <w:iCs w:val="0"/>
                <w:color w:val="000000"/>
                <w:kern w:val="0"/>
                <w:sz w:val="24"/>
                <w:szCs w:val="24"/>
                <w:u w:val="none"/>
                <w:lang w:val="en-US" w:eastAsia="zh-CN" w:bidi="ar"/>
              </w:rPr>
              <w:t>238</w:t>
            </w:r>
          </w:p>
        </w:tc>
        <w:tc>
          <w:tcPr>
            <w:tcW w:w="1283" w:type="dxa"/>
            <w:tcBorders>
              <w:top w:val="single" w:color="auto" w:sz="4" w:space="0"/>
              <w:left w:val="single" w:color="auto" w:sz="4" w:space="0"/>
              <w:bottom w:val="single" w:color="auto" w:sz="4" w:space="0"/>
              <w:right w:val="single" w:color="auto" w:sz="4" w:space="0"/>
            </w:tcBorders>
            <w:shd w:val="clear" w:color="auto" w:fill="FF0000"/>
            <w:vAlign w:val="center"/>
          </w:tcPr>
          <w:p w14:paraId="3AE4970F">
            <w:pPr>
              <w:pStyle w:val="20"/>
              <w:tabs>
                <w:tab w:val="left" w:pos="1620"/>
                <w:tab w:val="left" w:pos="7200"/>
              </w:tabs>
              <w:snapToGrid w:val="0"/>
              <w:spacing w:before="0" w:after="0" w:line="240" w:lineRule="auto"/>
              <w:jc w:val="center"/>
              <w:rPr>
                <w:rFonts w:hint="eastAsia" w:ascii="宋体" w:hAnsi="宋体" w:eastAsia="宋体" w:cs="宋体"/>
                <w:sz w:val="24"/>
                <w:szCs w:val="24"/>
                <w:lang w:bidi="ar"/>
              </w:rPr>
            </w:pPr>
            <w:r>
              <w:rPr>
                <w:rFonts w:hint="eastAsia" w:ascii="宋体" w:hAnsi="宋体" w:eastAsia="宋体" w:cs="宋体"/>
                <w:sz w:val="24"/>
                <w:szCs w:val="24"/>
                <w:lang w:val="en-US" w:eastAsia="zh-CN" w:bidi="ar"/>
              </w:rPr>
              <w:t>接供货通知后20日内</w:t>
            </w:r>
          </w:p>
        </w:tc>
        <w:tc>
          <w:tcPr>
            <w:tcW w:w="1674" w:type="dxa"/>
            <w:tcBorders>
              <w:top w:val="single" w:color="auto" w:sz="4" w:space="0"/>
              <w:left w:val="single" w:color="auto" w:sz="4" w:space="0"/>
              <w:bottom w:val="single" w:color="auto" w:sz="4" w:space="0"/>
              <w:right w:val="single" w:color="auto" w:sz="4" w:space="0"/>
            </w:tcBorders>
            <w:vAlign w:val="center"/>
          </w:tcPr>
          <w:p w14:paraId="41A63033">
            <w:pPr>
              <w:pStyle w:val="20"/>
              <w:tabs>
                <w:tab w:val="left" w:pos="1620"/>
                <w:tab w:val="left" w:pos="7200"/>
              </w:tabs>
              <w:snapToGrid w:val="0"/>
              <w:spacing w:before="0" w:after="0" w:line="240" w:lineRule="auto"/>
              <w:jc w:val="center"/>
              <w:rPr>
                <w:rFonts w:hint="eastAsia" w:ascii="宋体" w:hAnsi="宋体" w:eastAsia="宋体" w:cs="宋体"/>
                <w:sz w:val="24"/>
                <w:szCs w:val="24"/>
                <w:lang w:bidi="ar"/>
              </w:rPr>
            </w:pPr>
            <w:r>
              <w:rPr>
                <w:rFonts w:hint="eastAsia" w:ascii="宋体" w:hAnsi="宋体" w:eastAsia="宋体" w:cs="宋体"/>
                <w:sz w:val="24"/>
                <w:szCs w:val="24"/>
                <w:lang w:val="en-US" w:eastAsia="zh-CN" w:bidi="ar"/>
              </w:rPr>
              <w:t>36个月</w:t>
            </w:r>
          </w:p>
        </w:tc>
        <w:tc>
          <w:tcPr>
            <w:tcW w:w="1253" w:type="dxa"/>
            <w:tcBorders>
              <w:top w:val="single" w:color="auto" w:sz="4" w:space="0"/>
              <w:left w:val="single" w:color="auto" w:sz="4" w:space="0"/>
              <w:bottom w:val="single" w:color="auto" w:sz="4" w:space="0"/>
              <w:right w:val="single" w:color="auto" w:sz="4" w:space="0"/>
            </w:tcBorders>
            <w:vAlign w:val="center"/>
          </w:tcPr>
          <w:p w14:paraId="2A841FAF">
            <w:pPr>
              <w:pStyle w:val="20"/>
              <w:tabs>
                <w:tab w:val="left" w:pos="1620"/>
                <w:tab w:val="left" w:pos="7200"/>
              </w:tabs>
              <w:snapToGrid w:val="0"/>
              <w:spacing w:before="0" w:after="0" w:line="240" w:lineRule="auto"/>
              <w:jc w:val="center"/>
              <w:rPr>
                <w:rFonts w:hint="eastAsia" w:ascii="宋体" w:hAnsi="宋体" w:eastAsia="宋体" w:cs="宋体"/>
                <w:sz w:val="24"/>
                <w:szCs w:val="24"/>
                <w:lang w:bidi="ar"/>
              </w:rPr>
            </w:pPr>
            <w:r>
              <w:rPr>
                <w:rFonts w:hint="eastAsia" w:ascii="宋体" w:hAnsi="宋体" w:eastAsia="宋体" w:cs="宋体"/>
                <w:sz w:val="24"/>
                <w:szCs w:val="24"/>
                <w:lang w:val="en-US" w:eastAsia="zh-CN" w:bidi="ar"/>
              </w:rPr>
              <w:t>买方指定地点</w:t>
            </w:r>
          </w:p>
        </w:tc>
        <w:tc>
          <w:tcPr>
            <w:tcW w:w="2061" w:type="dxa"/>
            <w:vMerge w:val="restart"/>
            <w:tcBorders>
              <w:top w:val="single" w:color="auto" w:sz="4" w:space="0"/>
              <w:left w:val="single" w:color="auto" w:sz="4" w:space="0"/>
              <w:right w:val="single" w:color="auto" w:sz="4" w:space="0"/>
            </w:tcBorders>
            <w:vAlign w:val="center"/>
          </w:tcPr>
          <w:p w14:paraId="782465CA">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b/>
                <w:bCs/>
                <w:color w:val="auto"/>
                <w:kern w:val="0"/>
                <w:sz w:val="24"/>
                <w:szCs w:val="24"/>
              </w:rPr>
              <w:t>业绩要求</w:t>
            </w:r>
            <w:r>
              <w:rPr>
                <w:rFonts w:hint="eastAsia" w:ascii="宋体" w:hAnsi="宋体" w:cs="宋体"/>
                <w:b/>
                <w:bCs/>
                <w:color w:val="auto"/>
                <w:kern w:val="0"/>
                <w:sz w:val="24"/>
                <w:szCs w:val="24"/>
                <w:lang w:eastAsia="zh-CN"/>
              </w:rPr>
              <w:t>：</w:t>
            </w:r>
            <w:r>
              <w:rPr>
                <w:rFonts w:hint="eastAsia" w:ascii="宋体" w:hAnsi="宋体" w:eastAsia="宋体" w:cs="宋体"/>
                <w:color w:val="auto"/>
                <w:kern w:val="0"/>
                <w:sz w:val="24"/>
                <w:szCs w:val="24"/>
                <w:highlight w:val="none"/>
              </w:rPr>
              <w:t>202</w:t>
            </w:r>
            <w:r>
              <w:rPr>
                <w:rFonts w:hint="eastAsia" w:ascii="宋体" w:hAnsi="宋体" w:eastAsia="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年1月1日至</w:t>
            </w:r>
            <w:r>
              <w:rPr>
                <w:rFonts w:hint="eastAsia" w:ascii="宋体" w:hAnsi="宋体" w:eastAsia="宋体" w:cs="宋体"/>
                <w:color w:val="auto"/>
                <w:kern w:val="0"/>
                <w:sz w:val="24"/>
                <w:szCs w:val="24"/>
                <w:highlight w:val="none"/>
                <w:lang w:val="en-US" w:eastAsia="zh-CN"/>
              </w:rPr>
              <w:t>2025年12月31日</w:t>
            </w:r>
            <w:r>
              <w:rPr>
                <w:rFonts w:hint="eastAsia" w:ascii="宋体" w:hAnsi="宋体" w:eastAsia="宋体" w:cs="宋体"/>
                <w:color w:val="auto"/>
                <w:kern w:val="0"/>
                <w:sz w:val="24"/>
                <w:szCs w:val="24"/>
                <w:highlight w:val="none"/>
              </w:rPr>
              <w:t>止，完成过</w:t>
            </w:r>
            <w:r>
              <w:rPr>
                <w:rFonts w:hint="eastAsia" w:ascii="宋体" w:hAnsi="宋体" w:eastAsia="宋体" w:cs="宋体"/>
                <w:color w:val="auto"/>
                <w:kern w:val="0"/>
                <w:sz w:val="24"/>
                <w:szCs w:val="24"/>
                <w:highlight w:val="none"/>
                <w:lang w:val="en-US" w:eastAsia="zh-CN"/>
              </w:rPr>
              <w:t>视频系统或站端处理系统</w:t>
            </w:r>
            <w:r>
              <w:rPr>
                <w:rFonts w:hint="eastAsia" w:ascii="宋体" w:hAnsi="宋体" w:eastAsia="宋体" w:cs="宋体"/>
                <w:color w:val="auto"/>
                <w:kern w:val="0"/>
                <w:sz w:val="24"/>
                <w:szCs w:val="24"/>
                <w:highlight w:val="none"/>
              </w:rPr>
              <w:t>或组部件（服务器或</w:t>
            </w:r>
            <w:r>
              <w:rPr>
                <w:rFonts w:hint="eastAsia" w:ascii="宋体" w:hAnsi="宋体" w:eastAsia="宋体" w:cs="宋体"/>
                <w:color w:val="auto"/>
                <w:kern w:val="0"/>
                <w:sz w:val="24"/>
                <w:szCs w:val="24"/>
                <w:highlight w:val="none"/>
                <w:lang w:val="en-US" w:eastAsia="zh-CN"/>
              </w:rPr>
              <w:t>工作站</w:t>
            </w:r>
            <w:r>
              <w:rPr>
                <w:rFonts w:hint="eastAsia" w:ascii="宋体" w:hAnsi="宋体" w:eastAsia="宋体" w:cs="宋体"/>
                <w:color w:val="auto"/>
                <w:kern w:val="0"/>
                <w:sz w:val="24"/>
                <w:szCs w:val="24"/>
                <w:highlight w:val="none"/>
              </w:rPr>
              <w:t>）销售业绩不少于1份，累计金额不低于</w:t>
            </w:r>
            <w:r>
              <w:rPr>
                <w:rFonts w:hint="eastAsia" w:ascii="宋体" w:hAnsi="宋体" w:eastAsia="宋体" w:cs="宋体"/>
                <w:color w:val="auto"/>
                <w:kern w:val="0"/>
                <w:sz w:val="24"/>
                <w:szCs w:val="24"/>
                <w:highlight w:val="none"/>
                <w:lang w:val="en-US" w:eastAsia="zh-CN"/>
              </w:rPr>
              <w:t>400</w:t>
            </w:r>
            <w:r>
              <w:rPr>
                <w:rFonts w:hint="eastAsia" w:ascii="宋体" w:hAnsi="宋体" w:eastAsia="宋体" w:cs="宋体"/>
                <w:color w:val="auto"/>
                <w:kern w:val="0"/>
                <w:sz w:val="24"/>
                <w:szCs w:val="24"/>
                <w:highlight w:val="none"/>
              </w:rPr>
              <w:t>万元。注:业绩必须提供对应的合同复印件、发票和相应查验截图。</w:t>
            </w:r>
          </w:p>
        </w:tc>
      </w:tr>
      <w:tr w14:paraId="73D3A1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9" w:hRule="atLeast"/>
          <w:jc w:val="center"/>
        </w:trPr>
        <w:tc>
          <w:tcPr>
            <w:tcW w:w="1306" w:type="dxa"/>
            <w:vMerge w:val="continue"/>
            <w:tcBorders>
              <w:left w:val="single" w:color="auto" w:sz="4" w:space="0"/>
              <w:right w:val="single" w:color="auto" w:sz="4" w:space="0"/>
            </w:tcBorders>
            <w:vAlign w:val="center"/>
          </w:tcPr>
          <w:p w14:paraId="235B525F">
            <w:pPr>
              <w:widowControl/>
              <w:jc w:val="left"/>
              <w:rPr>
                <w:rFonts w:hint="eastAsia" w:ascii="宋体" w:hAnsi="宋体" w:eastAsia="宋体" w:cs="宋体"/>
                <w:b/>
                <w:bCs/>
                <w:sz w:val="24"/>
                <w:szCs w:val="24"/>
                <w:lang w:bidi="ar"/>
              </w:rPr>
            </w:pPr>
          </w:p>
        </w:tc>
        <w:tc>
          <w:tcPr>
            <w:tcW w:w="1264" w:type="dxa"/>
            <w:tcBorders>
              <w:top w:val="single" w:color="auto" w:sz="4" w:space="0"/>
              <w:left w:val="single" w:color="auto" w:sz="4" w:space="0"/>
              <w:bottom w:val="single" w:color="auto" w:sz="4" w:space="0"/>
              <w:right w:val="single" w:color="auto" w:sz="4" w:space="0"/>
            </w:tcBorders>
            <w:vAlign w:val="center"/>
          </w:tcPr>
          <w:p w14:paraId="64F8F78E">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站端处理单元视频接入与存储转发组件</w:t>
            </w:r>
          </w:p>
        </w:tc>
        <w:tc>
          <w:tcPr>
            <w:tcW w:w="3098" w:type="dxa"/>
            <w:tcBorders>
              <w:top w:val="single" w:color="auto" w:sz="4" w:space="0"/>
              <w:left w:val="single" w:color="auto" w:sz="4" w:space="0"/>
              <w:bottom w:val="single" w:color="auto" w:sz="4" w:space="0"/>
              <w:right w:val="single" w:color="auto" w:sz="4" w:space="0"/>
            </w:tcBorders>
            <w:vAlign w:val="center"/>
          </w:tcPr>
          <w:p w14:paraId="3FC4F9CE">
            <w:pPr>
              <w:keepNext w:val="0"/>
              <w:keepLines w:val="0"/>
              <w:widowControl/>
              <w:suppressLineNumbers w:val="0"/>
              <w:jc w:val="left"/>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负责对接地区级主站、站端设备，完成双向通信及设备控制</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支持128路及以上摄像机接入、码流转发，最大管理视频路数128路</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单通道支持QCIF、CIF、4CIF/D1、720P、1080P、2K、4K全分辨率编码，各分辨率最高帧率≥25帧/秒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标配≥8块硬盘，单块硬盘容量≥6T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支持定时、报警触发、手动三种录像模式，支持全通道长时间循环录像</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兼容ONVIF、PSIA、RTSP、南网PG协议，适配主流第三方摄像机；支持IPv4、IPv6、HTTP、UPnP、NTP、SNMP、PPPoE、DNS、FTP通用网络协议</w:t>
            </w:r>
          </w:p>
        </w:tc>
        <w:tc>
          <w:tcPr>
            <w:tcW w:w="1083" w:type="dxa"/>
            <w:tcBorders>
              <w:top w:val="single" w:color="auto" w:sz="4" w:space="0"/>
              <w:left w:val="single" w:color="auto" w:sz="4" w:space="0"/>
              <w:bottom w:val="single" w:color="auto" w:sz="4" w:space="0"/>
              <w:right w:val="single" w:color="auto" w:sz="4" w:space="0"/>
            </w:tcBorders>
            <w:vAlign w:val="center"/>
          </w:tcPr>
          <w:p w14:paraId="0FF5ADF5">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套</w:t>
            </w:r>
          </w:p>
        </w:tc>
        <w:tc>
          <w:tcPr>
            <w:tcW w:w="793" w:type="dxa"/>
            <w:tcBorders>
              <w:top w:val="single" w:color="auto" w:sz="4" w:space="0"/>
              <w:left w:val="single" w:color="auto" w:sz="4" w:space="0"/>
              <w:bottom w:val="single" w:color="auto" w:sz="4" w:space="0"/>
              <w:right w:val="single" w:color="auto" w:sz="4" w:space="0"/>
            </w:tcBorders>
            <w:vAlign w:val="center"/>
          </w:tcPr>
          <w:p w14:paraId="1232C759">
            <w:pPr>
              <w:keepNext w:val="0"/>
              <w:keepLines w:val="0"/>
              <w:widowControl/>
              <w:suppressLineNumbers w:val="0"/>
              <w:jc w:val="center"/>
              <w:textAlignment w:val="center"/>
              <w:rPr>
                <w:rFonts w:hint="eastAsia" w:ascii="宋体" w:hAnsi="宋体" w:eastAsia="宋体" w:cs="宋体"/>
                <w:sz w:val="24"/>
                <w:szCs w:val="24"/>
                <w:lang w:eastAsia="zh-CN" w:bidi="ar"/>
              </w:rPr>
            </w:pPr>
            <w:r>
              <w:rPr>
                <w:rFonts w:hint="eastAsia" w:ascii="宋体" w:hAnsi="宋体" w:eastAsia="宋体" w:cs="宋体"/>
                <w:i w:val="0"/>
                <w:iCs w:val="0"/>
                <w:color w:val="000000"/>
                <w:kern w:val="0"/>
                <w:sz w:val="24"/>
                <w:szCs w:val="24"/>
                <w:u w:val="none"/>
                <w:lang w:val="en-US" w:eastAsia="zh-CN" w:bidi="ar"/>
              </w:rPr>
              <w:t>238</w:t>
            </w:r>
          </w:p>
        </w:tc>
        <w:tc>
          <w:tcPr>
            <w:tcW w:w="1283" w:type="dxa"/>
            <w:tcBorders>
              <w:top w:val="single" w:color="auto" w:sz="4" w:space="0"/>
              <w:left w:val="single" w:color="auto" w:sz="4" w:space="0"/>
              <w:bottom w:val="single" w:color="auto" w:sz="4" w:space="0"/>
              <w:right w:val="single" w:color="auto" w:sz="4" w:space="0"/>
            </w:tcBorders>
            <w:shd w:val="clear" w:color="auto" w:fill="FF0000"/>
            <w:vAlign w:val="center"/>
          </w:tcPr>
          <w:p w14:paraId="7EB62B64">
            <w:pPr>
              <w:pStyle w:val="20"/>
              <w:tabs>
                <w:tab w:val="left" w:pos="1620"/>
                <w:tab w:val="left" w:pos="7200"/>
              </w:tabs>
              <w:snapToGrid w:val="0"/>
              <w:spacing w:before="0" w:after="0" w:line="240" w:lineRule="auto"/>
              <w:jc w:val="center"/>
              <w:rPr>
                <w:rFonts w:hint="eastAsia" w:ascii="宋体" w:hAnsi="宋体" w:eastAsia="宋体" w:cs="宋体"/>
                <w:sz w:val="24"/>
                <w:szCs w:val="24"/>
                <w:lang w:bidi="ar"/>
              </w:rPr>
            </w:pPr>
            <w:r>
              <w:rPr>
                <w:rFonts w:hint="eastAsia" w:ascii="宋体" w:hAnsi="宋体" w:eastAsia="宋体" w:cs="宋体"/>
                <w:sz w:val="24"/>
                <w:szCs w:val="24"/>
                <w:lang w:val="en-US" w:eastAsia="zh-CN" w:bidi="ar"/>
              </w:rPr>
              <w:t>接供货通知后20日内</w:t>
            </w:r>
          </w:p>
        </w:tc>
        <w:tc>
          <w:tcPr>
            <w:tcW w:w="1674" w:type="dxa"/>
            <w:tcBorders>
              <w:top w:val="single" w:color="auto" w:sz="4" w:space="0"/>
              <w:left w:val="single" w:color="auto" w:sz="4" w:space="0"/>
              <w:bottom w:val="single" w:color="auto" w:sz="4" w:space="0"/>
              <w:right w:val="single" w:color="auto" w:sz="4" w:space="0"/>
            </w:tcBorders>
            <w:vAlign w:val="center"/>
          </w:tcPr>
          <w:p w14:paraId="101C8777">
            <w:pPr>
              <w:pStyle w:val="20"/>
              <w:tabs>
                <w:tab w:val="left" w:pos="1620"/>
                <w:tab w:val="left" w:pos="7200"/>
              </w:tabs>
              <w:snapToGrid w:val="0"/>
              <w:spacing w:before="0" w:after="0" w:line="240" w:lineRule="auto"/>
              <w:jc w:val="center"/>
              <w:rPr>
                <w:rFonts w:hint="eastAsia" w:ascii="宋体" w:hAnsi="宋体" w:eastAsia="宋体" w:cs="宋体"/>
                <w:sz w:val="24"/>
                <w:szCs w:val="24"/>
                <w:lang w:bidi="ar"/>
              </w:rPr>
            </w:pPr>
            <w:r>
              <w:rPr>
                <w:rFonts w:hint="eastAsia" w:ascii="宋体" w:hAnsi="宋体" w:eastAsia="宋体" w:cs="宋体"/>
                <w:sz w:val="24"/>
                <w:szCs w:val="24"/>
                <w:lang w:val="en-US" w:eastAsia="zh-CN" w:bidi="ar"/>
              </w:rPr>
              <w:t>36个月</w:t>
            </w:r>
          </w:p>
        </w:tc>
        <w:tc>
          <w:tcPr>
            <w:tcW w:w="1253" w:type="dxa"/>
            <w:tcBorders>
              <w:top w:val="single" w:color="auto" w:sz="4" w:space="0"/>
              <w:left w:val="single" w:color="auto" w:sz="4" w:space="0"/>
              <w:bottom w:val="single" w:color="auto" w:sz="4" w:space="0"/>
              <w:right w:val="single" w:color="auto" w:sz="4" w:space="0"/>
            </w:tcBorders>
            <w:vAlign w:val="center"/>
          </w:tcPr>
          <w:p w14:paraId="239AA0BB">
            <w:pPr>
              <w:pStyle w:val="20"/>
              <w:tabs>
                <w:tab w:val="left" w:pos="1620"/>
                <w:tab w:val="left" w:pos="7200"/>
              </w:tabs>
              <w:snapToGrid w:val="0"/>
              <w:spacing w:before="0" w:after="0" w:line="240" w:lineRule="auto"/>
              <w:jc w:val="center"/>
              <w:rPr>
                <w:rFonts w:hint="eastAsia" w:ascii="宋体" w:hAnsi="宋体" w:eastAsia="宋体" w:cs="宋体"/>
                <w:sz w:val="24"/>
                <w:szCs w:val="24"/>
                <w:lang w:bidi="ar"/>
              </w:rPr>
            </w:pPr>
            <w:r>
              <w:rPr>
                <w:rFonts w:hint="eastAsia" w:ascii="宋体" w:hAnsi="宋体" w:eastAsia="宋体" w:cs="宋体"/>
                <w:sz w:val="24"/>
                <w:szCs w:val="24"/>
                <w:lang w:val="en-US" w:eastAsia="zh-CN" w:bidi="ar"/>
              </w:rPr>
              <w:t>买方指定地点</w:t>
            </w:r>
          </w:p>
        </w:tc>
        <w:tc>
          <w:tcPr>
            <w:tcW w:w="2061" w:type="dxa"/>
            <w:vMerge w:val="continue"/>
            <w:tcBorders>
              <w:left w:val="single" w:color="auto" w:sz="4" w:space="0"/>
              <w:right w:val="single" w:color="auto" w:sz="4" w:space="0"/>
            </w:tcBorders>
            <w:vAlign w:val="center"/>
          </w:tcPr>
          <w:p w14:paraId="019718F0">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p>
        </w:tc>
      </w:tr>
      <w:tr w14:paraId="7DBA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2" w:hRule="atLeast"/>
          <w:jc w:val="center"/>
        </w:trPr>
        <w:tc>
          <w:tcPr>
            <w:tcW w:w="1306" w:type="dxa"/>
            <w:vMerge w:val="continue"/>
            <w:tcBorders>
              <w:left w:val="single" w:color="auto" w:sz="4" w:space="0"/>
              <w:right w:val="single" w:color="auto" w:sz="4" w:space="0"/>
            </w:tcBorders>
            <w:vAlign w:val="center"/>
          </w:tcPr>
          <w:p w14:paraId="02DE6A62">
            <w:pPr>
              <w:widowControl/>
              <w:jc w:val="left"/>
              <w:rPr>
                <w:rFonts w:hint="eastAsia" w:ascii="宋体" w:hAnsi="宋体" w:eastAsia="宋体" w:cs="宋体"/>
                <w:b/>
                <w:bCs/>
                <w:sz w:val="24"/>
                <w:szCs w:val="24"/>
                <w:lang w:bidi="ar"/>
              </w:rPr>
            </w:pPr>
          </w:p>
        </w:tc>
        <w:tc>
          <w:tcPr>
            <w:tcW w:w="1264" w:type="dxa"/>
            <w:tcBorders>
              <w:top w:val="single" w:color="auto" w:sz="4" w:space="0"/>
              <w:left w:val="single" w:color="auto" w:sz="4" w:space="0"/>
              <w:bottom w:val="single" w:color="auto" w:sz="4" w:space="0"/>
              <w:right w:val="single" w:color="auto" w:sz="4" w:space="0"/>
            </w:tcBorders>
            <w:vAlign w:val="center"/>
          </w:tcPr>
          <w:p w14:paraId="24B9A8B1">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站端处理单元智能视频分析组件</w:t>
            </w:r>
          </w:p>
        </w:tc>
        <w:tc>
          <w:tcPr>
            <w:tcW w:w="3098" w:type="dxa"/>
            <w:tcBorders>
              <w:top w:val="single" w:color="auto" w:sz="4" w:space="0"/>
              <w:left w:val="single" w:color="auto" w:sz="4" w:space="0"/>
              <w:bottom w:val="single" w:color="auto" w:sz="4" w:space="0"/>
              <w:right w:val="single" w:color="auto" w:sz="4" w:space="0"/>
            </w:tcBorders>
            <w:vAlign w:val="center"/>
          </w:tcPr>
          <w:p w14:paraId="67D579C4">
            <w:pPr>
              <w:keepNext w:val="0"/>
              <w:keepLines w:val="0"/>
              <w:widowControl/>
              <w:suppressLineNumbers w:val="0"/>
              <w:jc w:val="left"/>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支持≥16路1080P视频作业管控分析，可识别未戴安全帽、未穿工作服等违规行为，全通道可配置分析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支持≥48路1080P视频人脸识别，全通道可配置分析，人脸历史抓拍库容量≥100万条</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支持≥16路1080P视频烟火检测，全通道可配置分析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支持≥48路1080P人员、车辆入侵识别，包含区域入侵、越界入侵双模式；告警时长0可配置，重复告警抑制0-60秒可调，支持抓图、告警提示及主站平台上送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支持≥24路1080P小动物入侵识别，区域侦测、时长阈值、防重复告警参数可配置，支持抓图、告警及平台上送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支持≥24路1080P漂浮物入侵识别，区域侦测、时长阈值、防重复告警参数可配置，支持抓图、告警及平台上送</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单通道支持同时叠加人员、小动物、漂浮物入侵识别规则</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支持≥128路1080P视频轮巡分析，可自定义多时间段、多通道、多分析规则分时任务</w:t>
            </w:r>
          </w:p>
        </w:tc>
        <w:tc>
          <w:tcPr>
            <w:tcW w:w="1083" w:type="dxa"/>
            <w:tcBorders>
              <w:top w:val="single" w:color="auto" w:sz="4" w:space="0"/>
              <w:left w:val="single" w:color="auto" w:sz="4" w:space="0"/>
              <w:bottom w:val="single" w:color="auto" w:sz="4" w:space="0"/>
              <w:right w:val="single" w:color="auto" w:sz="4" w:space="0"/>
            </w:tcBorders>
            <w:vAlign w:val="center"/>
          </w:tcPr>
          <w:p w14:paraId="0FE6C526">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套</w:t>
            </w:r>
          </w:p>
        </w:tc>
        <w:tc>
          <w:tcPr>
            <w:tcW w:w="793" w:type="dxa"/>
            <w:tcBorders>
              <w:top w:val="single" w:color="auto" w:sz="4" w:space="0"/>
              <w:left w:val="single" w:color="auto" w:sz="4" w:space="0"/>
              <w:bottom w:val="single" w:color="auto" w:sz="4" w:space="0"/>
              <w:right w:val="single" w:color="auto" w:sz="4" w:space="0"/>
            </w:tcBorders>
            <w:vAlign w:val="center"/>
          </w:tcPr>
          <w:p w14:paraId="4D539C53">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238</w:t>
            </w:r>
          </w:p>
        </w:tc>
        <w:tc>
          <w:tcPr>
            <w:tcW w:w="1283" w:type="dxa"/>
            <w:tcBorders>
              <w:top w:val="single" w:color="auto" w:sz="4" w:space="0"/>
              <w:left w:val="single" w:color="auto" w:sz="4" w:space="0"/>
              <w:bottom w:val="single" w:color="auto" w:sz="4" w:space="0"/>
              <w:right w:val="single" w:color="auto" w:sz="4" w:space="0"/>
            </w:tcBorders>
            <w:shd w:val="clear" w:color="auto" w:fill="FF0000"/>
            <w:vAlign w:val="center"/>
          </w:tcPr>
          <w:p w14:paraId="18E6D6E4">
            <w:pPr>
              <w:pStyle w:val="20"/>
              <w:tabs>
                <w:tab w:val="left" w:pos="1620"/>
                <w:tab w:val="left" w:pos="7200"/>
              </w:tabs>
              <w:snapToGrid w:val="0"/>
              <w:spacing w:before="0" w:after="0" w:line="240" w:lineRule="auto"/>
              <w:jc w:val="center"/>
              <w:rPr>
                <w:rFonts w:hint="eastAsia" w:ascii="宋体" w:hAnsi="宋体" w:eastAsia="宋体" w:cs="宋体"/>
                <w:sz w:val="24"/>
                <w:szCs w:val="24"/>
                <w:lang w:bidi="ar"/>
              </w:rPr>
            </w:pPr>
            <w:r>
              <w:rPr>
                <w:rFonts w:hint="eastAsia" w:ascii="宋体" w:hAnsi="宋体" w:eastAsia="宋体" w:cs="宋体"/>
                <w:sz w:val="24"/>
                <w:szCs w:val="24"/>
                <w:lang w:val="en-US" w:eastAsia="zh-CN" w:bidi="ar"/>
              </w:rPr>
              <w:t>接供货通知后20日内</w:t>
            </w:r>
          </w:p>
        </w:tc>
        <w:tc>
          <w:tcPr>
            <w:tcW w:w="1674" w:type="dxa"/>
            <w:tcBorders>
              <w:top w:val="single" w:color="auto" w:sz="4" w:space="0"/>
              <w:left w:val="single" w:color="auto" w:sz="4" w:space="0"/>
              <w:bottom w:val="single" w:color="auto" w:sz="4" w:space="0"/>
              <w:right w:val="single" w:color="auto" w:sz="4" w:space="0"/>
            </w:tcBorders>
            <w:vAlign w:val="center"/>
          </w:tcPr>
          <w:p w14:paraId="364EC8DE">
            <w:pPr>
              <w:pStyle w:val="20"/>
              <w:tabs>
                <w:tab w:val="left" w:pos="1620"/>
                <w:tab w:val="left" w:pos="7200"/>
              </w:tabs>
              <w:snapToGrid w:val="0"/>
              <w:spacing w:before="0" w:after="0" w:line="240" w:lineRule="auto"/>
              <w:jc w:val="center"/>
              <w:rPr>
                <w:rFonts w:hint="eastAsia" w:ascii="宋体" w:hAnsi="宋体" w:eastAsia="宋体" w:cs="宋体"/>
                <w:sz w:val="24"/>
                <w:szCs w:val="24"/>
                <w:lang w:bidi="ar"/>
              </w:rPr>
            </w:pPr>
            <w:r>
              <w:rPr>
                <w:rFonts w:hint="eastAsia" w:ascii="宋体" w:hAnsi="宋体" w:eastAsia="宋体" w:cs="宋体"/>
                <w:sz w:val="24"/>
                <w:szCs w:val="24"/>
                <w:lang w:val="en-US" w:eastAsia="zh-CN" w:bidi="ar"/>
              </w:rPr>
              <w:t>36个月</w:t>
            </w:r>
          </w:p>
        </w:tc>
        <w:tc>
          <w:tcPr>
            <w:tcW w:w="1253" w:type="dxa"/>
            <w:tcBorders>
              <w:top w:val="single" w:color="auto" w:sz="4" w:space="0"/>
              <w:left w:val="single" w:color="auto" w:sz="4" w:space="0"/>
              <w:bottom w:val="single" w:color="auto" w:sz="4" w:space="0"/>
              <w:right w:val="single" w:color="auto" w:sz="4" w:space="0"/>
            </w:tcBorders>
            <w:vAlign w:val="center"/>
          </w:tcPr>
          <w:p w14:paraId="040377A5">
            <w:pPr>
              <w:pStyle w:val="20"/>
              <w:tabs>
                <w:tab w:val="left" w:pos="1620"/>
                <w:tab w:val="left" w:pos="7200"/>
              </w:tabs>
              <w:snapToGrid w:val="0"/>
              <w:spacing w:before="0" w:after="0" w:line="240" w:lineRule="auto"/>
              <w:jc w:val="center"/>
              <w:rPr>
                <w:rFonts w:hint="eastAsia" w:ascii="宋体" w:hAnsi="宋体" w:eastAsia="宋体" w:cs="宋体"/>
                <w:sz w:val="24"/>
                <w:szCs w:val="24"/>
                <w:lang w:bidi="ar"/>
              </w:rPr>
            </w:pPr>
            <w:r>
              <w:rPr>
                <w:rFonts w:hint="eastAsia" w:ascii="宋体" w:hAnsi="宋体" w:eastAsia="宋体" w:cs="宋体"/>
                <w:sz w:val="24"/>
                <w:szCs w:val="24"/>
                <w:lang w:val="en-US" w:eastAsia="zh-CN" w:bidi="ar"/>
              </w:rPr>
              <w:t>买方指定地点</w:t>
            </w:r>
          </w:p>
        </w:tc>
        <w:tc>
          <w:tcPr>
            <w:tcW w:w="2061" w:type="dxa"/>
            <w:vMerge w:val="continue"/>
            <w:tcBorders>
              <w:left w:val="single" w:color="auto" w:sz="4" w:space="0"/>
              <w:right w:val="single" w:color="auto" w:sz="4" w:space="0"/>
            </w:tcBorders>
            <w:vAlign w:val="center"/>
          </w:tcPr>
          <w:p w14:paraId="0C5291B4">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p>
        </w:tc>
      </w:tr>
      <w:tr w14:paraId="4F7AB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306" w:type="dxa"/>
            <w:vMerge w:val="continue"/>
            <w:tcBorders>
              <w:left w:val="single" w:color="auto" w:sz="4" w:space="0"/>
              <w:right w:val="single" w:color="auto" w:sz="4" w:space="0"/>
            </w:tcBorders>
            <w:vAlign w:val="center"/>
          </w:tcPr>
          <w:p w14:paraId="4FBC4925">
            <w:pPr>
              <w:widowControl/>
              <w:jc w:val="left"/>
              <w:rPr>
                <w:rFonts w:hint="eastAsia" w:ascii="宋体" w:hAnsi="宋体" w:eastAsia="宋体" w:cs="宋体"/>
                <w:b/>
                <w:bCs/>
                <w:sz w:val="24"/>
                <w:szCs w:val="24"/>
                <w:lang w:bidi="ar"/>
              </w:rPr>
            </w:pPr>
          </w:p>
        </w:tc>
        <w:tc>
          <w:tcPr>
            <w:tcW w:w="1264" w:type="dxa"/>
            <w:tcBorders>
              <w:top w:val="single" w:color="auto" w:sz="4" w:space="0"/>
              <w:left w:val="single" w:color="auto" w:sz="4" w:space="0"/>
              <w:bottom w:val="single" w:color="auto" w:sz="4" w:space="0"/>
              <w:right w:val="single" w:color="auto" w:sz="4" w:space="0"/>
            </w:tcBorders>
            <w:vAlign w:val="center"/>
          </w:tcPr>
          <w:p w14:paraId="1834DA67">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站端处理单元综合业务管理组件</w:t>
            </w:r>
          </w:p>
        </w:tc>
        <w:tc>
          <w:tcPr>
            <w:tcW w:w="3098" w:type="dxa"/>
            <w:tcBorders>
              <w:top w:val="single" w:color="auto" w:sz="4" w:space="0"/>
              <w:left w:val="single" w:color="auto" w:sz="4" w:space="0"/>
              <w:bottom w:val="single" w:color="auto" w:sz="4" w:space="0"/>
              <w:right w:val="single" w:color="auto" w:sz="4" w:space="0"/>
            </w:tcBorders>
            <w:vAlign w:val="center"/>
          </w:tcPr>
          <w:p w14:paraId="4327771B">
            <w:pPr>
              <w:keepNext w:val="0"/>
              <w:keepLines w:val="0"/>
              <w:widowControl/>
              <w:suppressLineNumbers w:val="0"/>
              <w:jc w:val="left"/>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集成门禁管理功能，最大支持管理≥20个门禁设备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支持站端环境监控管理，适配配套环境监测设备数据接入与管理</w:t>
            </w:r>
          </w:p>
        </w:tc>
        <w:tc>
          <w:tcPr>
            <w:tcW w:w="1083" w:type="dxa"/>
            <w:tcBorders>
              <w:top w:val="single" w:color="auto" w:sz="4" w:space="0"/>
              <w:left w:val="single" w:color="auto" w:sz="4" w:space="0"/>
              <w:bottom w:val="single" w:color="auto" w:sz="4" w:space="0"/>
              <w:right w:val="single" w:color="auto" w:sz="4" w:space="0"/>
            </w:tcBorders>
            <w:vAlign w:val="center"/>
          </w:tcPr>
          <w:p w14:paraId="400E1925">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套</w:t>
            </w:r>
          </w:p>
        </w:tc>
        <w:tc>
          <w:tcPr>
            <w:tcW w:w="793" w:type="dxa"/>
            <w:tcBorders>
              <w:top w:val="single" w:color="auto" w:sz="4" w:space="0"/>
              <w:left w:val="single" w:color="auto" w:sz="4" w:space="0"/>
              <w:bottom w:val="single" w:color="auto" w:sz="4" w:space="0"/>
              <w:right w:val="single" w:color="auto" w:sz="4" w:space="0"/>
            </w:tcBorders>
            <w:vAlign w:val="center"/>
          </w:tcPr>
          <w:p w14:paraId="38B4A916">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238</w:t>
            </w:r>
          </w:p>
        </w:tc>
        <w:tc>
          <w:tcPr>
            <w:tcW w:w="1283" w:type="dxa"/>
            <w:tcBorders>
              <w:top w:val="single" w:color="auto" w:sz="4" w:space="0"/>
              <w:left w:val="single" w:color="auto" w:sz="4" w:space="0"/>
              <w:bottom w:val="single" w:color="auto" w:sz="4" w:space="0"/>
              <w:right w:val="single" w:color="auto" w:sz="4" w:space="0"/>
            </w:tcBorders>
            <w:shd w:val="clear" w:color="auto" w:fill="FF0000"/>
            <w:vAlign w:val="center"/>
          </w:tcPr>
          <w:p w14:paraId="73687C52">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接供货通知后20日内</w:t>
            </w:r>
          </w:p>
        </w:tc>
        <w:tc>
          <w:tcPr>
            <w:tcW w:w="1674" w:type="dxa"/>
            <w:tcBorders>
              <w:top w:val="single" w:color="auto" w:sz="4" w:space="0"/>
              <w:left w:val="single" w:color="auto" w:sz="4" w:space="0"/>
              <w:bottom w:val="single" w:color="auto" w:sz="4" w:space="0"/>
              <w:right w:val="single" w:color="auto" w:sz="4" w:space="0"/>
            </w:tcBorders>
            <w:vAlign w:val="center"/>
          </w:tcPr>
          <w:p w14:paraId="34C763AF">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36个月</w:t>
            </w:r>
          </w:p>
        </w:tc>
        <w:tc>
          <w:tcPr>
            <w:tcW w:w="1253" w:type="dxa"/>
            <w:tcBorders>
              <w:top w:val="single" w:color="auto" w:sz="4" w:space="0"/>
              <w:left w:val="single" w:color="auto" w:sz="4" w:space="0"/>
              <w:bottom w:val="single" w:color="auto" w:sz="4" w:space="0"/>
              <w:right w:val="single" w:color="auto" w:sz="4" w:space="0"/>
            </w:tcBorders>
            <w:vAlign w:val="center"/>
          </w:tcPr>
          <w:p w14:paraId="79A7BA53">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买方指定地点</w:t>
            </w:r>
          </w:p>
        </w:tc>
        <w:tc>
          <w:tcPr>
            <w:tcW w:w="2061" w:type="dxa"/>
            <w:vMerge w:val="continue"/>
            <w:tcBorders>
              <w:left w:val="single" w:color="auto" w:sz="4" w:space="0"/>
              <w:right w:val="single" w:color="auto" w:sz="4" w:space="0"/>
            </w:tcBorders>
            <w:vAlign w:val="center"/>
          </w:tcPr>
          <w:p w14:paraId="221D4230">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p>
        </w:tc>
      </w:tr>
      <w:tr w14:paraId="7C84D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7" w:hRule="atLeast"/>
          <w:jc w:val="center"/>
        </w:trPr>
        <w:tc>
          <w:tcPr>
            <w:tcW w:w="1306" w:type="dxa"/>
            <w:vMerge w:val="continue"/>
            <w:tcBorders>
              <w:left w:val="single" w:color="auto" w:sz="4" w:space="0"/>
              <w:right w:val="single" w:color="auto" w:sz="4" w:space="0"/>
            </w:tcBorders>
            <w:vAlign w:val="center"/>
          </w:tcPr>
          <w:p w14:paraId="0F6FF9BB">
            <w:pPr>
              <w:widowControl/>
              <w:jc w:val="left"/>
              <w:rPr>
                <w:rFonts w:hint="eastAsia" w:ascii="宋体" w:hAnsi="宋体" w:eastAsia="宋体" w:cs="宋体"/>
                <w:b/>
                <w:bCs/>
                <w:sz w:val="24"/>
                <w:szCs w:val="24"/>
                <w:lang w:bidi="ar"/>
              </w:rPr>
            </w:pPr>
          </w:p>
        </w:tc>
        <w:tc>
          <w:tcPr>
            <w:tcW w:w="1264" w:type="dxa"/>
            <w:tcBorders>
              <w:top w:val="single" w:color="auto" w:sz="4" w:space="0"/>
              <w:left w:val="single" w:color="auto" w:sz="4" w:space="0"/>
              <w:bottom w:val="single" w:color="auto" w:sz="4" w:space="0"/>
              <w:right w:val="single" w:color="auto" w:sz="4" w:space="0"/>
            </w:tcBorders>
            <w:vAlign w:val="center"/>
          </w:tcPr>
          <w:p w14:paraId="1B884507">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存储单元算力组件</w:t>
            </w:r>
          </w:p>
        </w:tc>
        <w:tc>
          <w:tcPr>
            <w:tcW w:w="3098" w:type="dxa"/>
            <w:tcBorders>
              <w:top w:val="single" w:color="auto" w:sz="4" w:space="0"/>
              <w:left w:val="single" w:color="auto" w:sz="4" w:space="0"/>
              <w:bottom w:val="single" w:color="auto" w:sz="4" w:space="0"/>
              <w:right w:val="single" w:color="auto" w:sz="4" w:space="0"/>
            </w:tcBorders>
            <w:vAlign w:val="center"/>
          </w:tcPr>
          <w:p w14:paraId="6821F4EB">
            <w:pPr>
              <w:keepNext w:val="0"/>
              <w:keepLines w:val="0"/>
              <w:widowControl/>
              <w:suppressLineNumbers w:val="0"/>
              <w:jc w:val="left"/>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操作系统：采用符合网络安全要求的Linux系统，中文界面，支持单鼠标操作</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核心配置：多核处理器，标配16GB内存，支持最大扩展至32GB</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设备扩展：支持硬盘扩容≥16盘位，满足后期存储扩容需求</w:t>
            </w:r>
          </w:p>
        </w:tc>
        <w:tc>
          <w:tcPr>
            <w:tcW w:w="1083" w:type="dxa"/>
            <w:tcBorders>
              <w:top w:val="single" w:color="auto" w:sz="4" w:space="0"/>
              <w:left w:val="single" w:color="auto" w:sz="4" w:space="0"/>
              <w:bottom w:val="single" w:color="auto" w:sz="4" w:space="0"/>
              <w:right w:val="single" w:color="auto" w:sz="4" w:space="0"/>
            </w:tcBorders>
            <w:vAlign w:val="center"/>
          </w:tcPr>
          <w:p w14:paraId="34392DAA">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套</w:t>
            </w:r>
          </w:p>
        </w:tc>
        <w:tc>
          <w:tcPr>
            <w:tcW w:w="793" w:type="dxa"/>
            <w:tcBorders>
              <w:top w:val="single" w:color="auto" w:sz="4" w:space="0"/>
              <w:left w:val="single" w:color="auto" w:sz="4" w:space="0"/>
              <w:bottom w:val="single" w:color="auto" w:sz="4" w:space="0"/>
              <w:right w:val="single" w:color="auto" w:sz="4" w:space="0"/>
            </w:tcBorders>
            <w:vAlign w:val="center"/>
          </w:tcPr>
          <w:p w14:paraId="6F2E3238">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237</w:t>
            </w:r>
          </w:p>
        </w:tc>
        <w:tc>
          <w:tcPr>
            <w:tcW w:w="1283" w:type="dxa"/>
            <w:tcBorders>
              <w:top w:val="single" w:color="auto" w:sz="4" w:space="0"/>
              <w:left w:val="single" w:color="auto" w:sz="4" w:space="0"/>
              <w:bottom w:val="single" w:color="auto" w:sz="4" w:space="0"/>
              <w:right w:val="single" w:color="auto" w:sz="4" w:space="0"/>
            </w:tcBorders>
            <w:shd w:val="clear" w:color="auto" w:fill="FF0000"/>
            <w:vAlign w:val="center"/>
          </w:tcPr>
          <w:p w14:paraId="75968E59">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接供货通知后20日内</w:t>
            </w:r>
          </w:p>
        </w:tc>
        <w:tc>
          <w:tcPr>
            <w:tcW w:w="1674" w:type="dxa"/>
            <w:tcBorders>
              <w:top w:val="single" w:color="auto" w:sz="4" w:space="0"/>
              <w:left w:val="single" w:color="auto" w:sz="4" w:space="0"/>
              <w:bottom w:val="single" w:color="auto" w:sz="4" w:space="0"/>
              <w:right w:val="single" w:color="auto" w:sz="4" w:space="0"/>
            </w:tcBorders>
            <w:vAlign w:val="center"/>
          </w:tcPr>
          <w:p w14:paraId="6A026DAF">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36个月</w:t>
            </w:r>
          </w:p>
        </w:tc>
        <w:tc>
          <w:tcPr>
            <w:tcW w:w="1253" w:type="dxa"/>
            <w:tcBorders>
              <w:top w:val="single" w:color="auto" w:sz="4" w:space="0"/>
              <w:left w:val="single" w:color="auto" w:sz="4" w:space="0"/>
              <w:bottom w:val="single" w:color="auto" w:sz="4" w:space="0"/>
              <w:right w:val="single" w:color="auto" w:sz="4" w:space="0"/>
            </w:tcBorders>
            <w:vAlign w:val="center"/>
          </w:tcPr>
          <w:p w14:paraId="1138B27E">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买方指定地点</w:t>
            </w:r>
          </w:p>
        </w:tc>
        <w:tc>
          <w:tcPr>
            <w:tcW w:w="2061" w:type="dxa"/>
            <w:vMerge w:val="continue"/>
            <w:tcBorders>
              <w:left w:val="single" w:color="auto" w:sz="4" w:space="0"/>
              <w:right w:val="single" w:color="auto" w:sz="4" w:space="0"/>
            </w:tcBorders>
            <w:vAlign w:val="center"/>
          </w:tcPr>
          <w:p w14:paraId="4CDF81A0">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p>
        </w:tc>
      </w:tr>
      <w:tr w14:paraId="722D9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1" w:hRule="atLeast"/>
          <w:jc w:val="center"/>
        </w:trPr>
        <w:tc>
          <w:tcPr>
            <w:tcW w:w="1306" w:type="dxa"/>
            <w:vMerge w:val="continue"/>
            <w:tcBorders>
              <w:left w:val="single" w:color="auto" w:sz="4" w:space="0"/>
              <w:right w:val="single" w:color="auto" w:sz="4" w:space="0"/>
            </w:tcBorders>
            <w:vAlign w:val="center"/>
          </w:tcPr>
          <w:p w14:paraId="310C1932">
            <w:pPr>
              <w:widowControl/>
              <w:jc w:val="left"/>
              <w:rPr>
                <w:rFonts w:hint="eastAsia" w:ascii="宋体" w:hAnsi="宋体" w:eastAsia="宋体" w:cs="宋体"/>
                <w:b/>
                <w:bCs/>
                <w:sz w:val="24"/>
                <w:szCs w:val="24"/>
                <w:lang w:bidi="ar"/>
              </w:rPr>
            </w:pPr>
          </w:p>
        </w:tc>
        <w:tc>
          <w:tcPr>
            <w:tcW w:w="1264" w:type="dxa"/>
            <w:tcBorders>
              <w:top w:val="single" w:color="auto" w:sz="4" w:space="0"/>
              <w:left w:val="single" w:color="auto" w:sz="4" w:space="0"/>
              <w:bottom w:val="single" w:color="auto" w:sz="4" w:space="0"/>
              <w:right w:val="single" w:color="auto" w:sz="4" w:space="0"/>
            </w:tcBorders>
            <w:vAlign w:val="center"/>
          </w:tcPr>
          <w:p w14:paraId="06B6ABB4">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存储单元网络接入与通信组件</w:t>
            </w:r>
          </w:p>
        </w:tc>
        <w:tc>
          <w:tcPr>
            <w:tcW w:w="3098" w:type="dxa"/>
            <w:tcBorders>
              <w:top w:val="single" w:color="auto" w:sz="4" w:space="0"/>
              <w:left w:val="single" w:color="auto" w:sz="4" w:space="0"/>
              <w:bottom w:val="single" w:color="auto" w:sz="4" w:space="0"/>
              <w:right w:val="single" w:color="auto" w:sz="4" w:space="0"/>
            </w:tcBorders>
            <w:vAlign w:val="center"/>
          </w:tcPr>
          <w:p w14:paraId="32A88CD8">
            <w:pPr>
              <w:keepNext w:val="0"/>
              <w:keepLines w:val="0"/>
              <w:widowControl/>
              <w:suppressLineNumbers w:val="0"/>
              <w:jc w:val="left"/>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平台通信：可与地区级主站、站端设备完成数据通信、设备控制交互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转发能力：支持128路视频同时接入与码流转发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网口配置：搭载≥4个千兆以太网口，保障高清视频传输稳定性</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设备协议：兼容ONVIF、PSIA、RTSP、南网PG协议，适配主流及第三方摄像机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网络协议：支持IPv4、IPv6、HTTP、UPnP、NTP、SNMP、PPPoE、DNS、FTP等通用网络协议</w:t>
            </w:r>
          </w:p>
        </w:tc>
        <w:tc>
          <w:tcPr>
            <w:tcW w:w="1083" w:type="dxa"/>
            <w:tcBorders>
              <w:top w:val="single" w:color="auto" w:sz="4" w:space="0"/>
              <w:left w:val="single" w:color="auto" w:sz="4" w:space="0"/>
              <w:bottom w:val="single" w:color="auto" w:sz="4" w:space="0"/>
              <w:right w:val="single" w:color="auto" w:sz="4" w:space="0"/>
            </w:tcBorders>
            <w:vAlign w:val="center"/>
          </w:tcPr>
          <w:p w14:paraId="42B62BF6">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套</w:t>
            </w:r>
          </w:p>
        </w:tc>
        <w:tc>
          <w:tcPr>
            <w:tcW w:w="793" w:type="dxa"/>
            <w:tcBorders>
              <w:top w:val="single" w:color="auto" w:sz="4" w:space="0"/>
              <w:left w:val="single" w:color="auto" w:sz="4" w:space="0"/>
              <w:bottom w:val="single" w:color="auto" w:sz="4" w:space="0"/>
              <w:right w:val="single" w:color="auto" w:sz="4" w:space="0"/>
            </w:tcBorders>
            <w:vAlign w:val="center"/>
          </w:tcPr>
          <w:p w14:paraId="4FC3A005">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237</w:t>
            </w:r>
          </w:p>
        </w:tc>
        <w:tc>
          <w:tcPr>
            <w:tcW w:w="1283" w:type="dxa"/>
            <w:tcBorders>
              <w:top w:val="single" w:color="auto" w:sz="4" w:space="0"/>
              <w:left w:val="single" w:color="auto" w:sz="4" w:space="0"/>
              <w:bottom w:val="single" w:color="auto" w:sz="4" w:space="0"/>
              <w:right w:val="single" w:color="auto" w:sz="4" w:space="0"/>
            </w:tcBorders>
            <w:shd w:val="clear" w:color="auto" w:fill="FF0000"/>
            <w:vAlign w:val="center"/>
          </w:tcPr>
          <w:p w14:paraId="776A696F">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接供货通知后20日内</w:t>
            </w:r>
          </w:p>
        </w:tc>
        <w:tc>
          <w:tcPr>
            <w:tcW w:w="1674" w:type="dxa"/>
            <w:tcBorders>
              <w:top w:val="single" w:color="auto" w:sz="4" w:space="0"/>
              <w:left w:val="single" w:color="auto" w:sz="4" w:space="0"/>
              <w:bottom w:val="single" w:color="auto" w:sz="4" w:space="0"/>
              <w:right w:val="single" w:color="auto" w:sz="4" w:space="0"/>
            </w:tcBorders>
            <w:vAlign w:val="center"/>
          </w:tcPr>
          <w:p w14:paraId="3F7FB0BE">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36个月</w:t>
            </w:r>
          </w:p>
        </w:tc>
        <w:tc>
          <w:tcPr>
            <w:tcW w:w="1253" w:type="dxa"/>
            <w:tcBorders>
              <w:top w:val="single" w:color="auto" w:sz="4" w:space="0"/>
              <w:left w:val="single" w:color="auto" w:sz="4" w:space="0"/>
              <w:bottom w:val="single" w:color="auto" w:sz="4" w:space="0"/>
              <w:right w:val="single" w:color="auto" w:sz="4" w:space="0"/>
            </w:tcBorders>
            <w:vAlign w:val="center"/>
          </w:tcPr>
          <w:p w14:paraId="0431B2D4">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买方指定地点</w:t>
            </w:r>
          </w:p>
        </w:tc>
        <w:tc>
          <w:tcPr>
            <w:tcW w:w="2061" w:type="dxa"/>
            <w:vMerge w:val="continue"/>
            <w:tcBorders>
              <w:left w:val="single" w:color="auto" w:sz="4" w:space="0"/>
              <w:right w:val="single" w:color="auto" w:sz="4" w:space="0"/>
            </w:tcBorders>
            <w:vAlign w:val="center"/>
          </w:tcPr>
          <w:p w14:paraId="0491EF17">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p>
        </w:tc>
      </w:tr>
      <w:tr w14:paraId="59C75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3" w:hRule="atLeast"/>
          <w:jc w:val="center"/>
        </w:trPr>
        <w:tc>
          <w:tcPr>
            <w:tcW w:w="1306" w:type="dxa"/>
            <w:vMerge w:val="continue"/>
            <w:tcBorders>
              <w:left w:val="single" w:color="auto" w:sz="4" w:space="0"/>
              <w:right w:val="single" w:color="auto" w:sz="4" w:space="0"/>
            </w:tcBorders>
            <w:vAlign w:val="center"/>
          </w:tcPr>
          <w:p w14:paraId="51E99686">
            <w:pPr>
              <w:widowControl/>
              <w:jc w:val="left"/>
              <w:rPr>
                <w:rFonts w:hint="eastAsia" w:ascii="宋体" w:hAnsi="宋体" w:eastAsia="宋体" w:cs="宋体"/>
                <w:b/>
                <w:bCs/>
                <w:sz w:val="24"/>
                <w:szCs w:val="24"/>
                <w:lang w:bidi="ar"/>
              </w:rPr>
            </w:pPr>
          </w:p>
        </w:tc>
        <w:tc>
          <w:tcPr>
            <w:tcW w:w="1264" w:type="dxa"/>
            <w:tcBorders>
              <w:top w:val="single" w:color="auto" w:sz="4" w:space="0"/>
              <w:left w:val="single" w:color="auto" w:sz="4" w:space="0"/>
              <w:bottom w:val="single" w:color="auto" w:sz="4" w:space="0"/>
              <w:right w:val="single" w:color="auto" w:sz="4" w:space="0"/>
            </w:tcBorders>
            <w:vAlign w:val="center"/>
          </w:tcPr>
          <w:p w14:paraId="47FB73F1">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存储单元视频编码与存储组件</w:t>
            </w:r>
          </w:p>
        </w:tc>
        <w:tc>
          <w:tcPr>
            <w:tcW w:w="3098" w:type="dxa"/>
            <w:tcBorders>
              <w:top w:val="single" w:color="auto" w:sz="4" w:space="0"/>
              <w:left w:val="single" w:color="auto" w:sz="4" w:space="0"/>
              <w:bottom w:val="single" w:color="auto" w:sz="4" w:space="0"/>
              <w:right w:val="single" w:color="auto" w:sz="4" w:space="0"/>
            </w:tcBorders>
            <w:vAlign w:val="center"/>
          </w:tcPr>
          <w:p w14:paraId="29729DBC">
            <w:pPr>
              <w:keepNext w:val="0"/>
              <w:keepLines w:val="0"/>
              <w:widowControl/>
              <w:suppressLineNumbers w:val="0"/>
              <w:jc w:val="left"/>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编码能力：单通道支持QCIF、CIF、4CIF/D1、720P、1080P、2K、4K全分辨率编码，所有分辨率帧率≥25帧/秒</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硬盘配置：标配≥8块硬盘，单块硬盘容量≥6T</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录像模式：支持定时录像、报警触发录像、手动录像三种模式，支持全通道长时间循环录像</w:t>
            </w:r>
          </w:p>
        </w:tc>
        <w:tc>
          <w:tcPr>
            <w:tcW w:w="1083" w:type="dxa"/>
            <w:tcBorders>
              <w:top w:val="single" w:color="auto" w:sz="4" w:space="0"/>
              <w:left w:val="single" w:color="auto" w:sz="4" w:space="0"/>
              <w:bottom w:val="single" w:color="auto" w:sz="4" w:space="0"/>
              <w:right w:val="single" w:color="auto" w:sz="4" w:space="0"/>
            </w:tcBorders>
            <w:vAlign w:val="center"/>
          </w:tcPr>
          <w:p w14:paraId="62FF3939">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套</w:t>
            </w:r>
          </w:p>
        </w:tc>
        <w:tc>
          <w:tcPr>
            <w:tcW w:w="793" w:type="dxa"/>
            <w:tcBorders>
              <w:top w:val="single" w:color="auto" w:sz="4" w:space="0"/>
              <w:left w:val="single" w:color="auto" w:sz="4" w:space="0"/>
              <w:bottom w:val="single" w:color="auto" w:sz="4" w:space="0"/>
              <w:right w:val="single" w:color="auto" w:sz="4" w:space="0"/>
            </w:tcBorders>
            <w:vAlign w:val="center"/>
          </w:tcPr>
          <w:p w14:paraId="78C6A3BC">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237</w:t>
            </w:r>
          </w:p>
        </w:tc>
        <w:tc>
          <w:tcPr>
            <w:tcW w:w="1283" w:type="dxa"/>
            <w:tcBorders>
              <w:top w:val="single" w:color="auto" w:sz="4" w:space="0"/>
              <w:left w:val="single" w:color="auto" w:sz="4" w:space="0"/>
              <w:bottom w:val="single" w:color="auto" w:sz="4" w:space="0"/>
              <w:right w:val="single" w:color="auto" w:sz="4" w:space="0"/>
            </w:tcBorders>
            <w:shd w:val="clear" w:color="auto" w:fill="FF0000"/>
            <w:vAlign w:val="center"/>
          </w:tcPr>
          <w:p w14:paraId="3A865745">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接供货通知后20日内</w:t>
            </w:r>
          </w:p>
        </w:tc>
        <w:tc>
          <w:tcPr>
            <w:tcW w:w="1674" w:type="dxa"/>
            <w:tcBorders>
              <w:top w:val="single" w:color="auto" w:sz="4" w:space="0"/>
              <w:left w:val="single" w:color="auto" w:sz="4" w:space="0"/>
              <w:bottom w:val="single" w:color="auto" w:sz="4" w:space="0"/>
              <w:right w:val="single" w:color="auto" w:sz="4" w:space="0"/>
            </w:tcBorders>
            <w:vAlign w:val="center"/>
          </w:tcPr>
          <w:p w14:paraId="43C51FE9">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36个月</w:t>
            </w:r>
          </w:p>
        </w:tc>
        <w:tc>
          <w:tcPr>
            <w:tcW w:w="1253" w:type="dxa"/>
            <w:tcBorders>
              <w:top w:val="single" w:color="auto" w:sz="4" w:space="0"/>
              <w:left w:val="single" w:color="auto" w:sz="4" w:space="0"/>
              <w:bottom w:val="single" w:color="auto" w:sz="4" w:space="0"/>
              <w:right w:val="single" w:color="auto" w:sz="4" w:space="0"/>
            </w:tcBorders>
            <w:vAlign w:val="center"/>
          </w:tcPr>
          <w:p w14:paraId="2B4BA8B3">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买方指定地点</w:t>
            </w:r>
          </w:p>
        </w:tc>
        <w:tc>
          <w:tcPr>
            <w:tcW w:w="2061" w:type="dxa"/>
            <w:vMerge w:val="continue"/>
            <w:tcBorders>
              <w:left w:val="single" w:color="auto" w:sz="4" w:space="0"/>
              <w:right w:val="single" w:color="auto" w:sz="4" w:space="0"/>
            </w:tcBorders>
            <w:vAlign w:val="center"/>
          </w:tcPr>
          <w:p w14:paraId="5DFFCE61">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p>
        </w:tc>
      </w:tr>
      <w:tr w14:paraId="3CF38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3" w:hRule="atLeast"/>
          <w:jc w:val="center"/>
        </w:trPr>
        <w:tc>
          <w:tcPr>
            <w:tcW w:w="1306" w:type="dxa"/>
            <w:vMerge w:val="continue"/>
            <w:tcBorders>
              <w:left w:val="single" w:color="auto" w:sz="4" w:space="0"/>
              <w:right w:val="single" w:color="auto" w:sz="4" w:space="0"/>
            </w:tcBorders>
            <w:vAlign w:val="center"/>
          </w:tcPr>
          <w:p w14:paraId="46B596EC">
            <w:pPr>
              <w:widowControl/>
              <w:jc w:val="left"/>
              <w:rPr>
                <w:rFonts w:hint="eastAsia" w:ascii="宋体" w:hAnsi="宋体" w:eastAsia="宋体" w:cs="宋体"/>
                <w:b/>
                <w:bCs/>
                <w:sz w:val="24"/>
                <w:szCs w:val="24"/>
                <w:lang w:bidi="ar"/>
              </w:rPr>
            </w:pPr>
          </w:p>
        </w:tc>
        <w:tc>
          <w:tcPr>
            <w:tcW w:w="1264" w:type="dxa"/>
            <w:tcBorders>
              <w:top w:val="single" w:color="auto" w:sz="4" w:space="0"/>
              <w:left w:val="single" w:color="auto" w:sz="4" w:space="0"/>
              <w:bottom w:val="single" w:color="auto" w:sz="4" w:space="0"/>
              <w:right w:val="single" w:color="auto" w:sz="4" w:space="0"/>
            </w:tcBorders>
            <w:vAlign w:val="center"/>
          </w:tcPr>
          <w:p w14:paraId="360D9C46">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存储单元智能分析与告警组件</w:t>
            </w:r>
          </w:p>
        </w:tc>
        <w:tc>
          <w:tcPr>
            <w:tcW w:w="3098" w:type="dxa"/>
            <w:tcBorders>
              <w:top w:val="single" w:color="auto" w:sz="4" w:space="0"/>
              <w:left w:val="single" w:color="auto" w:sz="4" w:space="0"/>
              <w:bottom w:val="single" w:color="auto" w:sz="4" w:space="0"/>
              <w:right w:val="single" w:color="auto" w:sz="4" w:space="0"/>
            </w:tcBorders>
            <w:vAlign w:val="center"/>
          </w:tcPr>
          <w:p w14:paraId="33241F8B">
            <w:pPr>
              <w:keepNext w:val="0"/>
              <w:keepLines w:val="0"/>
              <w:widowControl/>
              <w:suppressLineNumbers w:val="0"/>
              <w:jc w:val="left"/>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智能识别路数：支持≥24路1080P视频流人员、车辆入侵智能分析</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区域入侵检测：支持自定义侦测区域，可设置入侵触发时长，触发后输出告警提示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越界入侵检测：支持自定义警戒边界、侦测方向，目标逆向越界触发告警提示</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通用能力：所有接入摄像机均可自由配置分析规则，告警信号可上送地区主站平台，实现统一管控</w:t>
            </w:r>
          </w:p>
        </w:tc>
        <w:tc>
          <w:tcPr>
            <w:tcW w:w="1083" w:type="dxa"/>
            <w:tcBorders>
              <w:top w:val="single" w:color="auto" w:sz="4" w:space="0"/>
              <w:left w:val="single" w:color="auto" w:sz="4" w:space="0"/>
              <w:bottom w:val="single" w:color="auto" w:sz="4" w:space="0"/>
              <w:right w:val="single" w:color="auto" w:sz="4" w:space="0"/>
            </w:tcBorders>
            <w:vAlign w:val="center"/>
          </w:tcPr>
          <w:p w14:paraId="27BD197B">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套</w:t>
            </w:r>
          </w:p>
        </w:tc>
        <w:tc>
          <w:tcPr>
            <w:tcW w:w="793" w:type="dxa"/>
            <w:tcBorders>
              <w:top w:val="single" w:color="auto" w:sz="4" w:space="0"/>
              <w:left w:val="single" w:color="auto" w:sz="4" w:space="0"/>
              <w:bottom w:val="single" w:color="auto" w:sz="4" w:space="0"/>
              <w:right w:val="single" w:color="auto" w:sz="4" w:space="0"/>
            </w:tcBorders>
            <w:vAlign w:val="center"/>
          </w:tcPr>
          <w:p w14:paraId="476F314F">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237</w:t>
            </w:r>
          </w:p>
        </w:tc>
        <w:tc>
          <w:tcPr>
            <w:tcW w:w="1283" w:type="dxa"/>
            <w:tcBorders>
              <w:top w:val="single" w:color="auto" w:sz="4" w:space="0"/>
              <w:left w:val="single" w:color="auto" w:sz="4" w:space="0"/>
              <w:bottom w:val="single" w:color="auto" w:sz="4" w:space="0"/>
              <w:right w:val="single" w:color="auto" w:sz="4" w:space="0"/>
            </w:tcBorders>
            <w:shd w:val="clear" w:color="auto" w:fill="FF0000"/>
            <w:vAlign w:val="center"/>
          </w:tcPr>
          <w:p w14:paraId="561CEE07">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接供货通知后20日内</w:t>
            </w:r>
          </w:p>
        </w:tc>
        <w:tc>
          <w:tcPr>
            <w:tcW w:w="1674" w:type="dxa"/>
            <w:tcBorders>
              <w:top w:val="single" w:color="auto" w:sz="4" w:space="0"/>
              <w:left w:val="single" w:color="auto" w:sz="4" w:space="0"/>
              <w:bottom w:val="single" w:color="auto" w:sz="4" w:space="0"/>
              <w:right w:val="single" w:color="auto" w:sz="4" w:space="0"/>
            </w:tcBorders>
            <w:vAlign w:val="center"/>
          </w:tcPr>
          <w:p w14:paraId="26F6E9D9">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36个月</w:t>
            </w:r>
          </w:p>
        </w:tc>
        <w:tc>
          <w:tcPr>
            <w:tcW w:w="1253" w:type="dxa"/>
            <w:tcBorders>
              <w:top w:val="single" w:color="auto" w:sz="4" w:space="0"/>
              <w:left w:val="single" w:color="auto" w:sz="4" w:space="0"/>
              <w:bottom w:val="single" w:color="auto" w:sz="4" w:space="0"/>
              <w:right w:val="single" w:color="auto" w:sz="4" w:space="0"/>
            </w:tcBorders>
            <w:vAlign w:val="center"/>
          </w:tcPr>
          <w:p w14:paraId="744B4546">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买方指定地点</w:t>
            </w:r>
          </w:p>
        </w:tc>
        <w:tc>
          <w:tcPr>
            <w:tcW w:w="2061" w:type="dxa"/>
            <w:vMerge w:val="continue"/>
            <w:tcBorders>
              <w:left w:val="single" w:color="auto" w:sz="4" w:space="0"/>
              <w:right w:val="single" w:color="auto" w:sz="4" w:space="0"/>
            </w:tcBorders>
            <w:vAlign w:val="center"/>
          </w:tcPr>
          <w:p w14:paraId="6DC929B0">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p>
        </w:tc>
      </w:tr>
      <w:tr w14:paraId="436DC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1306" w:type="dxa"/>
            <w:vMerge w:val="continue"/>
            <w:tcBorders>
              <w:left w:val="single" w:color="auto" w:sz="4" w:space="0"/>
              <w:right w:val="single" w:color="auto" w:sz="4" w:space="0"/>
            </w:tcBorders>
            <w:vAlign w:val="center"/>
          </w:tcPr>
          <w:p w14:paraId="55123B04">
            <w:pPr>
              <w:widowControl/>
              <w:jc w:val="left"/>
              <w:rPr>
                <w:rFonts w:hint="eastAsia" w:ascii="宋体" w:hAnsi="宋体" w:eastAsia="宋体" w:cs="宋体"/>
                <w:b/>
                <w:bCs/>
                <w:sz w:val="24"/>
                <w:szCs w:val="24"/>
                <w:lang w:bidi="ar"/>
              </w:rPr>
            </w:pPr>
          </w:p>
        </w:tc>
        <w:tc>
          <w:tcPr>
            <w:tcW w:w="1264" w:type="dxa"/>
            <w:tcBorders>
              <w:top w:val="single" w:color="auto" w:sz="4" w:space="0"/>
              <w:left w:val="single" w:color="auto" w:sz="4" w:space="0"/>
              <w:bottom w:val="single" w:color="auto" w:sz="4" w:space="0"/>
              <w:right w:val="single" w:color="auto" w:sz="4" w:space="0"/>
            </w:tcBorders>
            <w:vAlign w:val="center"/>
          </w:tcPr>
          <w:p w14:paraId="3EF95020">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环境采集单元模拟量采集组件</w:t>
            </w:r>
          </w:p>
        </w:tc>
        <w:tc>
          <w:tcPr>
            <w:tcW w:w="3098" w:type="dxa"/>
            <w:tcBorders>
              <w:top w:val="single" w:color="auto" w:sz="4" w:space="0"/>
              <w:left w:val="single" w:color="auto" w:sz="4" w:space="0"/>
              <w:bottom w:val="single" w:color="auto" w:sz="4" w:space="0"/>
              <w:right w:val="single" w:color="auto" w:sz="4" w:space="0"/>
            </w:tcBorders>
            <w:vAlign w:val="center"/>
          </w:tcPr>
          <w:p w14:paraId="7E085F93">
            <w:pPr>
              <w:keepNext w:val="0"/>
              <w:keepLines w:val="0"/>
              <w:widowControl/>
              <w:suppressLineNumbers w:val="0"/>
              <w:jc w:val="left"/>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具备16路4~20mA标准电流环信号接入能力，支持各类环境模拟传感器数据采集</w:t>
            </w:r>
          </w:p>
        </w:tc>
        <w:tc>
          <w:tcPr>
            <w:tcW w:w="1083" w:type="dxa"/>
            <w:tcBorders>
              <w:top w:val="single" w:color="auto" w:sz="4" w:space="0"/>
              <w:left w:val="single" w:color="auto" w:sz="4" w:space="0"/>
              <w:bottom w:val="single" w:color="auto" w:sz="4" w:space="0"/>
              <w:right w:val="single" w:color="auto" w:sz="4" w:space="0"/>
            </w:tcBorders>
            <w:vAlign w:val="center"/>
          </w:tcPr>
          <w:p w14:paraId="71F82884">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台</w:t>
            </w:r>
          </w:p>
        </w:tc>
        <w:tc>
          <w:tcPr>
            <w:tcW w:w="793" w:type="dxa"/>
            <w:tcBorders>
              <w:top w:val="single" w:color="auto" w:sz="4" w:space="0"/>
              <w:left w:val="single" w:color="auto" w:sz="4" w:space="0"/>
              <w:bottom w:val="single" w:color="auto" w:sz="4" w:space="0"/>
              <w:right w:val="single" w:color="auto" w:sz="4" w:space="0"/>
            </w:tcBorders>
            <w:vAlign w:val="center"/>
          </w:tcPr>
          <w:p w14:paraId="69D2B6EE">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237</w:t>
            </w:r>
          </w:p>
        </w:tc>
        <w:tc>
          <w:tcPr>
            <w:tcW w:w="1283" w:type="dxa"/>
            <w:tcBorders>
              <w:top w:val="single" w:color="auto" w:sz="4" w:space="0"/>
              <w:left w:val="single" w:color="auto" w:sz="4" w:space="0"/>
              <w:bottom w:val="single" w:color="auto" w:sz="4" w:space="0"/>
              <w:right w:val="single" w:color="auto" w:sz="4" w:space="0"/>
            </w:tcBorders>
            <w:shd w:val="clear" w:color="auto" w:fill="FF0000"/>
            <w:vAlign w:val="center"/>
          </w:tcPr>
          <w:p w14:paraId="0F61A3B1">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接供货通知后20日内</w:t>
            </w:r>
          </w:p>
        </w:tc>
        <w:tc>
          <w:tcPr>
            <w:tcW w:w="1674" w:type="dxa"/>
            <w:tcBorders>
              <w:top w:val="single" w:color="auto" w:sz="4" w:space="0"/>
              <w:left w:val="single" w:color="auto" w:sz="4" w:space="0"/>
              <w:bottom w:val="single" w:color="auto" w:sz="4" w:space="0"/>
              <w:right w:val="single" w:color="auto" w:sz="4" w:space="0"/>
            </w:tcBorders>
            <w:vAlign w:val="center"/>
          </w:tcPr>
          <w:p w14:paraId="5F7BFF20">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36个月</w:t>
            </w:r>
          </w:p>
        </w:tc>
        <w:tc>
          <w:tcPr>
            <w:tcW w:w="1253" w:type="dxa"/>
            <w:tcBorders>
              <w:top w:val="single" w:color="auto" w:sz="4" w:space="0"/>
              <w:left w:val="single" w:color="auto" w:sz="4" w:space="0"/>
              <w:bottom w:val="single" w:color="auto" w:sz="4" w:space="0"/>
              <w:right w:val="single" w:color="auto" w:sz="4" w:space="0"/>
            </w:tcBorders>
            <w:vAlign w:val="center"/>
          </w:tcPr>
          <w:p w14:paraId="09CBF573">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买方指定地点</w:t>
            </w:r>
          </w:p>
        </w:tc>
        <w:tc>
          <w:tcPr>
            <w:tcW w:w="2061" w:type="dxa"/>
            <w:vMerge w:val="continue"/>
            <w:tcBorders>
              <w:left w:val="single" w:color="auto" w:sz="4" w:space="0"/>
              <w:right w:val="single" w:color="auto" w:sz="4" w:space="0"/>
            </w:tcBorders>
            <w:vAlign w:val="center"/>
          </w:tcPr>
          <w:p w14:paraId="32ED9D32">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p>
        </w:tc>
      </w:tr>
      <w:tr w14:paraId="246B0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1306" w:type="dxa"/>
            <w:vMerge w:val="continue"/>
            <w:tcBorders>
              <w:left w:val="single" w:color="auto" w:sz="4" w:space="0"/>
              <w:right w:val="single" w:color="auto" w:sz="4" w:space="0"/>
            </w:tcBorders>
            <w:vAlign w:val="center"/>
          </w:tcPr>
          <w:p w14:paraId="36CEA648">
            <w:pPr>
              <w:widowControl/>
              <w:jc w:val="left"/>
              <w:rPr>
                <w:rFonts w:hint="eastAsia" w:ascii="宋体" w:hAnsi="宋体" w:eastAsia="宋体" w:cs="宋体"/>
                <w:b/>
                <w:bCs/>
                <w:sz w:val="24"/>
                <w:szCs w:val="24"/>
                <w:lang w:bidi="ar"/>
              </w:rPr>
            </w:pPr>
          </w:p>
        </w:tc>
        <w:tc>
          <w:tcPr>
            <w:tcW w:w="1264" w:type="dxa"/>
            <w:tcBorders>
              <w:top w:val="single" w:color="auto" w:sz="4" w:space="0"/>
              <w:left w:val="single" w:color="auto" w:sz="4" w:space="0"/>
              <w:bottom w:val="single" w:color="auto" w:sz="4" w:space="0"/>
              <w:right w:val="single" w:color="auto" w:sz="4" w:space="0"/>
            </w:tcBorders>
            <w:vAlign w:val="center"/>
          </w:tcPr>
          <w:p w14:paraId="71FA7C58">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环境采集单元串口通信组件</w:t>
            </w:r>
          </w:p>
        </w:tc>
        <w:tc>
          <w:tcPr>
            <w:tcW w:w="3098" w:type="dxa"/>
            <w:tcBorders>
              <w:top w:val="single" w:color="auto" w:sz="4" w:space="0"/>
              <w:left w:val="single" w:color="auto" w:sz="4" w:space="0"/>
              <w:bottom w:val="single" w:color="auto" w:sz="4" w:space="0"/>
              <w:right w:val="single" w:color="auto" w:sz="4" w:space="0"/>
            </w:tcBorders>
            <w:vAlign w:val="center"/>
          </w:tcPr>
          <w:p w14:paraId="18B036D2">
            <w:pPr>
              <w:keepNext w:val="0"/>
              <w:keepLines w:val="0"/>
              <w:widowControl/>
              <w:suppressLineNumbers w:val="0"/>
              <w:jc w:val="left"/>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配置8路RS-485/232复用接口，可接入温湿度、气压、传感器、串口外设等设备</w:t>
            </w:r>
          </w:p>
        </w:tc>
        <w:tc>
          <w:tcPr>
            <w:tcW w:w="1083" w:type="dxa"/>
            <w:tcBorders>
              <w:top w:val="single" w:color="auto" w:sz="4" w:space="0"/>
              <w:left w:val="single" w:color="auto" w:sz="4" w:space="0"/>
              <w:bottom w:val="single" w:color="auto" w:sz="4" w:space="0"/>
              <w:right w:val="single" w:color="auto" w:sz="4" w:space="0"/>
            </w:tcBorders>
            <w:vAlign w:val="center"/>
          </w:tcPr>
          <w:p w14:paraId="6D969EC0">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台</w:t>
            </w:r>
          </w:p>
        </w:tc>
        <w:tc>
          <w:tcPr>
            <w:tcW w:w="793" w:type="dxa"/>
            <w:tcBorders>
              <w:top w:val="single" w:color="auto" w:sz="4" w:space="0"/>
              <w:left w:val="single" w:color="auto" w:sz="4" w:space="0"/>
              <w:bottom w:val="single" w:color="auto" w:sz="4" w:space="0"/>
              <w:right w:val="single" w:color="auto" w:sz="4" w:space="0"/>
            </w:tcBorders>
            <w:vAlign w:val="center"/>
          </w:tcPr>
          <w:p w14:paraId="686E171A">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237</w:t>
            </w:r>
          </w:p>
        </w:tc>
        <w:tc>
          <w:tcPr>
            <w:tcW w:w="1283" w:type="dxa"/>
            <w:tcBorders>
              <w:top w:val="single" w:color="auto" w:sz="4" w:space="0"/>
              <w:left w:val="single" w:color="auto" w:sz="4" w:space="0"/>
              <w:bottom w:val="single" w:color="auto" w:sz="4" w:space="0"/>
              <w:right w:val="single" w:color="auto" w:sz="4" w:space="0"/>
            </w:tcBorders>
            <w:shd w:val="clear" w:color="auto" w:fill="FF0000"/>
            <w:vAlign w:val="center"/>
          </w:tcPr>
          <w:p w14:paraId="45695D45">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接供货通知后20日内</w:t>
            </w:r>
          </w:p>
        </w:tc>
        <w:tc>
          <w:tcPr>
            <w:tcW w:w="1674" w:type="dxa"/>
            <w:tcBorders>
              <w:top w:val="single" w:color="auto" w:sz="4" w:space="0"/>
              <w:left w:val="single" w:color="auto" w:sz="4" w:space="0"/>
              <w:bottom w:val="single" w:color="auto" w:sz="4" w:space="0"/>
              <w:right w:val="single" w:color="auto" w:sz="4" w:space="0"/>
            </w:tcBorders>
            <w:vAlign w:val="center"/>
          </w:tcPr>
          <w:p w14:paraId="5DE8F49A">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36个月</w:t>
            </w:r>
          </w:p>
        </w:tc>
        <w:tc>
          <w:tcPr>
            <w:tcW w:w="1253" w:type="dxa"/>
            <w:tcBorders>
              <w:top w:val="single" w:color="auto" w:sz="4" w:space="0"/>
              <w:left w:val="single" w:color="auto" w:sz="4" w:space="0"/>
              <w:bottom w:val="single" w:color="auto" w:sz="4" w:space="0"/>
              <w:right w:val="single" w:color="auto" w:sz="4" w:space="0"/>
            </w:tcBorders>
            <w:vAlign w:val="center"/>
          </w:tcPr>
          <w:p w14:paraId="3DF90CF8">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买方指定地点</w:t>
            </w:r>
          </w:p>
        </w:tc>
        <w:tc>
          <w:tcPr>
            <w:tcW w:w="2061" w:type="dxa"/>
            <w:vMerge w:val="continue"/>
            <w:tcBorders>
              <w:left w:val="single" w:color="auto" w:sz="4" w:space="0"/>
              <w:right w:val="single" w:color="auto" w:sz="4" w:space="0"/>
            </w:tcBorders>
            <w:vAlign w:val="center"/>
          </w:tcPr>
          <w:p w14:paraId="4F43B861">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p>
        </w:tc>
      </w:tr>
      <w:tr w14:paraId="4B5F1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jc w:val="center"/>
        </w:trPr>
        <w:tc>
          <w:tcPr>
            <w:tcW w:w="1306" w:type="dxa"/>
            <w:vMerge w:val="continue"/>
            <w:tcBorders>
              <w:left w:val="single" w:color="auto" w:sz="4" w:space="0"/>
              <w:right w:val="single" w:color="auto" w:sz="4" w:space="0"/>
            </w:tcBorders>
            <w:vAlign w:val="center"/>
          </w:tcPr>
          <w:p w14:paraId="3F364382">
            <w:pPr>
              <w:widowControl/>
              <w:jc w:val="left"/>
              <w:rPr>
                <w:rFonts w:hint="eastAsia" w:ascii="宋体" w:hAnsi="宋体" w:eastAsia="宋体" w:cs="宋体"/>
                <w:b/>
                <w:bCs/>
                <w:sz w:val="24"/>
                <w:szCs w:val="24"/>
                <w:lang w:bidi="ar"/>
              </w:rPr>
            </w:pPr>
          </w:p>
        </w:tc>
        <w:tc>
          <w:tcPr>
            <w:tcW w:w="1264" w:type="dxa"/>
            <w:tcBorders>
              <w:top w:val="single" w:color="auto" w:sz="4" w:space="0"/>
              <w:left w:val="single" w:color="auto" w:sz="4" w:space="0"/>
              <w:bottom w:val="single" w:color="auto" w:sz="4" w:space="0"/>
              <w:right w:val="single" w:color="auto" w:sz="4" w:space="0"/>
            </w:tcBorders>
            <w:vAlign w:val="center"/>
          </w:tcPr>
          <w:p w14:paraId="42AE8F50">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环境采集单元开关量输入组件</w:t>
            </w:r>
          </w:p>
        </w:tc>
        <w:tc>
          <w:tcPr>
            <w:tcW w:w="3098" w:type="dxa"/>
            <w:tcBorders>
              <w:top w:val="single" w:color="auto" w:sz="4" w:space="0"/>
              <w:left w:val="single" w:color="auto" w:sz="4" w:space="0"/>
              <w:bottom w:val="single" w:color="auto" w:sz="4" w:space="0"/>
              <w:right w:val="single" w:color="auto" w:sz="4" w:space="0"/>
            </w:tcBorders>
            <w:vAlign w:val="center"/>
          </w:tcPr>
          <w:p w14:paraId="5F53628B">
            <w:pPr>
              <w:keepNext w:val="0"/>
              <w:keepLines w:val="0"/>
              <w:widowControl/>
              <w:suppressLineNumbers w:val="0"/>
              <w:jc w:val="left"/>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具备8路开关量接口，支持环境设备状态、告警点位、门禁、风机水泵等开关信号接入</w:t>
            </w:r>
          </w:p>
        </w:tc>
        <w:tc>
          <w:tcPr>
            <w:tcW w:w="1083" w:type="dxa"/>
            <w:tcBorders>
              <w:top w:val="single" w:color="auto" w:sz="4" w:space="0"/>
              <w:left w:val="single" w:color="auto" w:sz="4" w:space="0"/>
              <w:bottom w:val="single" w:color="auto" w:sz="4" w:space="0"/>
              <w:right w:val="single" w:color="auto" w:sz="4" w:space="0"/>
            </w:tcBorders>
            <w:vAlign w:val="center"/>
          </w:tcPr>
          <w:p w14:paraId="47B25AA4">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台</w:t>
            </w:r>
          </w:p>
        </w:tc>
        <w:tc>
          <w:tcPr>
            <w:tcW w:w="793" w:type="dxa"/>
            <w:tcBorders>
              <w:top w:val="single" w:color="auto" w:sz="4" w:space="0"/>
              <w:left w:val="single" w:color="auto" w:sz="4" w:space="0"/>
              <w:bottom w:val="single" w:color="auto" w:sz="4" w:space="0"/>
              <w:right w:val="single" w:color="auto" w:sz="4" w:space="0"/>
            </w:tcBorders>
            <w:vAlign w:val="center"/>
          </w:tcPr>
          <w:p w14:paraId="693FA8F9">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237</w:t>
            </w:r>
          </w:p>
        </w:tc>
        <w:tc>
          <w:tcPr>
            <w:tcW w:w="1283" w:type="dxa"/>
            <w:tcBorders>
              <w:top w:val="single" w:color="auto" w:sz="4" w:space="0"/>
              <w:left w:val="single" w:color="auto" w:sz="4" w:space="0"/>
              <w:bottom w:val="single" w:color="auto" w:sz="4" w:space="0"/>
              <w:right w:val="single" w:color="auto" w:sz="4" w:space="0"/>
            </w:tcBorders>
            <w:shd w:val="clear" w:color="auto" w:fill="FF0000"/>
            <w:vAlign w:val="center"/>
          </w:tcPr>
          <w:p w14:paraId="65C31070">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接供货通知后20日内</w:t>
            </w:r>
          </w:p>
        </w:tc>
        <w:tc>
          <w:tcPr>
            <w:tcW w:w="1674" w:type="dxa"/>
            <w:tcBorders>
              <w:top w:val="single" w:color="auto" w:sz="4" w:space="0"/>
              <w:left w:val="single" w:color="auto" w:sz="4" w:space="0"/>
              <w:bottom w:val="single" w:color="auto" w:sz="4" w:space="0"/>
              <w:right w:val="single" w:color="auto" w:sz="4" w:space="0"/>
            </w:tcBorders>
            <w:vAlign w:val="center"/>
          </w:tcPr>
          <w:p w14:paraId="0B61A46F">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36个月</w:t>
            </w:r>
          </w:p>
        </w:tc>
        <w:tc>
          <w:tcPr>
            <w:tcW w:w="1253" w:type="dxa"/>
            <w:tcBorders>
              <w:top w:val="single" w:color="auto" w:sz="4" w:space="0"/>
              <w:left w:val="single" w:color="auto" w:sz="4" w:space="0"/>
              <w:bottom w:val="single" w:color="auto" w:sz="4" w:space="0"/>
              <w:right w:val="single" w:color="auto" w:sz="4" w:space="0"/>
            </w:tcBorders>
            <w:vAlign w:val="center"/>
          </w:tcPr>
          <w:p w14:paraId="0799EDD1">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买方指定地点</w:t>
            </w:r>
          </w:p>
        </w:tc>
        <w:tc>
          <w:tcPr>
            <w:tcW w:w="2061" w:type="dxa"/>
            <w:vMerge w:val="continue"/>
            <w:tcBorders>
              <w:left w:val="single" w:color="auto" w:sz="4" w:space="0"/>
              <w:right w:val="single" w:color="auto" w:sz="4" w:space="0"/>
            </w:tcBorders>
            <w:vAlign w:val="center"/>
          </w:tcPr>
          <w:p w14:paraId="11EA0B56">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p>
        </w:tc>
      </w:tr>
      <w:tr w14:paraId="1396B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1" w:hRule="atLeast"/>
          <w:jc w:val="center"/>
        </w:trPr>
        <w:tc>
          <w:tcPr>
            <w:tcW w:w="1306" w:type="dxa"/>
            <w:vMerge w:val="continue"/>
            <w:tcBorders>
              <w:left w:val="single" w:color="auto" w:sz="4" w:space="0"/>
              <w:right w:val="single" w:color="auto" w:sz="4" w:space="0"/>
            </w:tcBorders>
            <w:vAlign w:val="center"/>
          </w:tcPr>
          <w:p w14:paraId="73F09118">
            <w:pPr>
              <w:widowControl/>
              <w:jc w:val="left"/>
              <w:rPr>
                <w:rFonts w:hint="eastAsia" w:ascii="宋体" w:hAnsi="宋体" w:eastAsia="宋体" w:cs="宋体"/>
                <w:b/>
                <w:bCs/>
                <w:sz w:val="24"/>
                <w:szCs w:val="24"/>
                <w:lang w:bidi="ar"/>
              </w:rPr>
            </w:pPr>
          </w:p>
        </w:tc>
        <w:tc>
          <w:tcPr>
            <w:tcW w:w="1264" w:type="dxa"/>
            <w:tcBorders>
              <w:top w:val="single" w:color="auto" w:sz="4" w:space="0"/>
              <w:left w:val="single" w:color="auto" w:sz="4" w:space="0"/>
              <w:bottom w:val="single" w:color="auto" w:sz="4" w:space="0"/>
              <w:right w:val="single" w:color="auto" w:sz="4" w:space="0"/>
            </w:tcBorders>
            <w:vAlign w:val="center"/>
          </w:tcPr>
          <w:p w14:paraId="3FFB2624">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环境采集单元集中管理组件</w:t>
            </w:r>
          </w:p>
        </w:tc>
        <w:tc>
          <w:tcPr>
            <w:tcW w:w="3098" w:type="dxa"/>
            <w:tcBorders>
              <w:top w:val="single" w:color="auto" w:sz="4" w:space="0"/>
              <w:left w:val="single" w:color="auto" w:sz="4" w:space="0"/>
              <w:bottom w:val="single" w:color="auto" w:sz="4" w:space="0"/>
              <w:right w:val="single" w:color="auto" w:sz="4" w:space="0"/>
            </w:tcBorders>
            <w:vAlign w:val="center"/>
          </w:tcPr>
          <w:p w14:paraId="57364FED">
            <w:pPr>
              <w:keepNext w:val="0"/>
              <w:keepLines w:val="0"/>
              <w:widowControl/>
              <w:suppressLineNumbers w:val="0"/>
              <w:jc w:val="left"/>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支持集中式接入架构，所有模拟量、串口、开关量信号统一集中在RPU端实现采集与汇总管理</w:t>
            </w:r>
          </w:p>
        </w:tc>
        <w:tc>
          <w:tcPr>
            <w:tcW w:w="1083" w:type="dxa"/>
            <w:tcBorders>
              <w:top w:val="single" w:color="auto" w:sz="4" w:space="0"/>
              <w:left w:val="single" w:color="auto" w:sz="4" w:space="0"/>
              <w:bottom w:val="single" w:color="auto" w:sz="4" w:space="0"/>
              <w:right w:val="single" w:color="auto" w:sz="4" w:space="0"/>
            </w:tcBorders>
            <w:vAlign w:val="center"/>
          </w:tcPr>
          <w:p w14:paraId="52EF8CF5">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台</w:t>
            </w:r>
          </w:p>
        </w:tc>
        <w:tc>
          <w:tcPr>
            <w:tcW w:w="793" w:type="dxa"/>
            <w:tcBorders>
              <w:top w:val="single" w:color="auto" w:sz="4" w:space="0"/>
              <w:left w:val="single" w:color="auto" w:sz="4" w:space="0"/>
              <w:bottom w:val="single" w:color="auto" w:sz="4" w:space="0"/>
              <w:right w:val="single" w:color="auto" w:sz="4" w:space="0"/>
            </w:tcBorders>
            <w:vAlign w:val="center"/>
          </w:tcPr>
          <w:p w14:paraId="1A4FBFB8">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237</w:t>
            </w:r>
          </w:p>
        </w:tc>
        <w:tc>
          <w:tcPr>
            <w:tcW w:w="1283" w:type="dxa"/>
            <w:tcBorders>
              <w:top w:val="single" w:color="auto" w:sz="4" w:space="0"/>
              <w:left w:val="single" w:color="auto" w:sz="4" w:space="0"/>
              <w:bottom w:val="single" w:color="auto" w:sz="4" w:space="0"/>
              <w:right w:val="single" w:color="auto" w:sz="4" w:space="0"/>
            </w:tcBorders>
            <w:shd w:val="clear" w:color="auto" w:fill="FF0000"/>
            <w:vAlign w:val="center"/>
          </w:tcPr>
          <w:p w14:paraId="6976A20B">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接供货通知后20日内</w:t>
            </w:r>
          </w:p>
        </w:tc>
        <w:tc>
          <w:tcPr>
            <w:tcW w:w="1674" w:type="dxa"/>
            <w:tcBorders>
              <w:top w:val="single" w:color="auto" w:sz="4" w:space="0"/>
              <w:left w:val="single" w:color="auto" w:sz="4" w:space="0"/>
              <w:bottom w:val="single" w:color="auto" w:sz="4" w:space="0"/>
              <w:right w:val="single" w:color="auto" w:sz="4" w:space="0"/>
            </w:tcBorders>
            <w:vAlign w:val="center"/>
          </w:tcPr>
          <w:p w14:paraId="72126BFE">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36个月</w:t>
            </w:r>
          </w:p>
        </w:tc>
        <w:tc>
          <w:tcPr>
            <w:tcW w:w="1253" w:type="dxa"/>
            <w:tcBorders>
              <w:top w:val="single" w:color="auto" w:sz="4" w:space="0"/>
              <w:left w:val="single" w:color="auto" w:sz="4" w:space="0"/>
              <w:bottom w:val="single" w:color="auto" w:sz="4" w:space="0"/>
              <w:right w:val="single" w:color="auto" w:sz="4" w:space="0"/>
            </w:tcBorders>
            <w:vAlign w:val="center"/>
          </w:tcPr>
          <w:p w14:paraId="083FE4C6">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买方指定地点</w:t>
            </w:r>
          </w:p>
        </w:tc>
        <w:tc>
          <w:tcPr>
            <w:tcW w:w="2061" w:type="dxa"/>
            <w:vMerge w:val="continue"/>
            <w:tcBorders>
              <w:left w:val="single" w:color="auto" w:sz="4" w:space="0"/>
              <w:right w:val="single" w:color="auto" w:sz="4" w:space="0"/>
            </w:tcBorders>
            <w:vAlign w:val="center"/>
          </w:tcPr>
          <w:p w14:paraId="5DCB4FBC">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p>
        </w:tc>
      </w:tr>
      <w:tr w14:paraId="74064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92" w:hRule="atLeast"/>
          <w:jc w:val="center"/>
        </w:trPr>
        <w:tc>
          <w:tcPr>
            <w:tcW w:w="1306" w:type="dxa"/>
            <w:vMerge w:val="continue"/>
            <w:tcBorders>
              <w:left w:val="single" w:color="auto" w:sz="4" w:space="0"/>
              <w:right w:val="single" w:color="auto" w:sz="4" w:space="0"/>
            </w:tcBorders>
            <w:vAlign w:val="center"/>
          </w:tcPr>
          <w:p w14:paraId="5AA547DA">
            <w:pPr>
              <w:widowControl/>
              <w:jc w:val="left"/>
              <w:rPr>
                <w:rFonts w:hint="eastAsia" w:ascii="宋体" w:hAnsi="宋体" w:eastAsia="宋体" w:cs="宋体"/>
                <w:b/>
                <w:bCs/>
                <w:sz w:val="24"/>
                <w:szCs w:val="24"/>
                <w:lang w:bidi="ar"/>
              </w:rPr>
            </w:pPr>
          </w:p>
        </w:tc>
        <w:tc>
          <w:tcPr>
            <w:tcW w:w="1264" w:type="dxa"/>
            <w:tcBorders>
              <w:top w:val="single" w:color="auto" w:sz="4" w:space="0"/>
              <w:left w:val="single" w:color="auto" w:sz="4" w:space="0"/>
              <w:bottom w:val="single" w:color="auto" w:sz="4" w:space="0"/>
              <w:right w:val="single" w:color="auto" w:sz="4" w:space="0"/>
            </w:tcBorders>
            <w:vAlign w:val="center"/>
          </w:tcPr>
          <w:p w14:paraId="0A005907">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站端工作站（含显示器）</w:t>
            </w:r>
          </w:p>
        </w:tc>
        <w:tc>
          <w:tcPr>
            <w:tcW w:w="3098" w:type="dxa"/>
            <w:tcBorders>
              <w:top w:val="single" w:color="auto" w:sz="4" w:space="0"/>
              <w:left w:val="single" w:color="auto" w:sz="4" w:space="0"/>
              <w:bottom w:val="single" w:color="auto" w:sz="4" w:space="0"/>
              <w:right w:val="single" w:color="auto" w:sz="4" w:space="0"/>
            </w:tcBorders>
            <w:vAlign w:val="center"/>
          </w:tcPr>
          <w:p w14:paraId="4D2BD27B">
            <w:pPr>
              <w:keepNext w:val="0"/>
              <w:keepLines w:val="0"/>
              <w:widowControl/>
              <w:suppressLineNumbers w:val="0"/>
              <w:jc w:val="left"/>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四核处理器,处理器字长≥64位，CPU主频≥ 3.0GHz，内存容量≥4GB，硬盘存储器≥250GB，独立显卡，显存≥512M（2个100M及以上以太网络接口，含操作系统（Linux、后台软件），23寸及以上液晶显示器。</w:t>
            </w:r>
          </w:p>
        </w:tc>
        <w:tc>
          <w:tcPr>
            <w:tcW w:w="1083" w:type="dxa"/>
            <w:tcBorders>
              <w:top w:val="single" w:color="auto" w:sz="4" w:space="0"/>
              <w:left w:val="single" w:color="auto" w:sz="4" w:space="0"/>
              <w:bottom w:val="single" w:color="auto" w:sz="4" w:space="0"/>
              <w:right w:val="single" w:color="auto" w:sz="4" w:space="0"/>
            </w:tcBorders>
            <w:vAlign w:val="center"/>
          </w:tcPr>
          <w:p w14:paraId="27A68FE0">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台</w:t>
            </w:r>
          </w:p>
        </w:tc>
        <w:tc>
          <w:tcPr>
            <w:tcW w:w="793" w:type="dxa"/>
            <w:tcBorders>
              <w:top w:val="single" w:color="auto" w:sz="4" w:space="0"/>
              <w:left w:val="single" w:color="auto" w:sz="4" w:space="0"/>
              <w:bottom w:val="single" w:color="auto" w:sz="4" w:space="0"/>
              <w:right w:val="single" w:color="auto" w:sz="4" w:space="0"/>
            </w:tcBorders>
            <w:vAlign w:val="center"/>
          </w:tcPr>
          <w:p w14:paraId="2C23C75A">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237</w:t>
            </w:r>
          </w:p>
        </w:tc>
        <w:tc>
          <w:tcPr>
            <w:tcW w:w="1283" w:type="dxa"/>
            <w:tcBorders>
              <w:top w:val="single" w:color="auto" w:sz="4" w:space="0"/>
              <w:left w:val="single" w:color="auto" w:sz="4" w:space="0"/>
              <w:bottom w:val="single" w:color="auto" w:sz="4" w:space="0"/>
              <w:right w:val="single" w:color="auto" w:sz="4" w:space="0"/>
            </w:tcBorders>
            <w:shd w:val="clear" w:color="auto" w:fill="FF0000"/>
            <w:vAlign w:val="center"/>
          </w:tcPr>
          <w:p w14:paraId="5F28945E">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接供货通知后20日内</w:t>
            </w:r>
          </w:p>
        </w:tc>
        <w:tc>
          <w:tcPr>
            <w:tcW w:w="1674" w:type="dxa"/>
            <w:tcBorders>
              <w:top w:val="single" w:color="auto" w:sz="4" w:space="0"/>
              <w:left w:val="single" w:color="auto" w:sz="4" w:space="0"/>
              <w:bottom w:val="single" w:color="auto" w:sz="4" w:space="0"/>
              <w:right w:val="single" w:color="auto" w:sz="4" w:space="0"/>
            </w:tcBorders>
            <w:vAlign w:val="center"/>
          </w:tcPr>
          <w:p w14:paraId="252DB643">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36个月</w:t>
            </w:r>
          </w:p>
        </w:tc>
        <w:tc>
          <w:tcPr>
            <w:tcW w:w="1253" w:type="dxa"/>
            <w:tcBorders>
              <w:top w:val="single" w:color="auto" w:sz="4" w:space="0"/>
              <w:left w:val="single" w:color="auto" w:sz="4" w:space="0"/>
              <w:bottom w:val="single" w:color="auto" w:sz="4" w:space="0"/>
              <w:right w:val="single" w:color="auto" w:sz="4" w:space="0"/>
            </w:tcBorders>
            <w:vAlign w:val="center"/>
          </w:tcPr>
          <w:p w14:paraId="5B36D0EA">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买方指定地点</w:t>
            </w:r>
          </w:p>
        </w:tc>
        <w:tc>
          <w:tcPr>
            <w:tcW w:w="2061" w:type="dxa"/>
            <w:vMerge w:val="continue"/>
            <w:tcBorders>
              <w:left w:val="single" w:color="auto" w:sz="4" w:space="0"/>
              <w:right w:val="single" w:color="auto" w:sz="4" w:space="0"/>
            </w:tcBorders>
            <w:vAlign w:val="center"/>
          </w:tcPr>
          <w:p w14:paraId="1CB37563">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p>
        </w:tc>
      </w:tr>
      <w:tr w14:paraId="511A7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1306" w:type="dxa"/>
            <w:vMerge w:val="continue"/>
            <w:tcBorders>
              <w:left w:val="single" w:color="auto" w:sz="4" w:space="0"/>
              <w:right w:val="single" w:color="auto" w:sz="4" w:space="0"/>
            </w:tcBorders>
            <w:vAlign w:val="center"/>
          </w:tcPr>
          <w:p w14:paraId="1AD1E08B">
            <w:pPr>
              <w:widowControl/>
              <w:jc w:val="left"/>
              <w:rPr>
                <w:rFonts w:hint="eastAsia" w:ascii="宋体" w:hAnsi="宋体" w:eastAsia="宋体" w:cs="宋体"/>
                <w:b/>
                <w:bCs/>
                <w:sz w:val="24"/>
                <w:szCs w:val="24"/>
                <w:lang w:bidi="ar"/>
              </w:rPr>
            </w:pPr>
          </w:p>
        </w:tc>
        <w:tc>
          <w:tcPr>
            <w:tcW w:w="1264" w:type="dxa"/>
            <w:tcBorders>
              <w:top w:val="single" w:color="auto" w:sz="4" w:space="0"/>
              <w:left w:val="single" w:color="auto" w:sz="4" w:space="0"/>
              <w:bottom w:val="single" w:color="auto" w:sz="4" w:space="0"/>
              <w:right w:val="single" w:color="auto" w:sz="4" w:space="0"/>
            </w:tcBorders>
            <w:vAlign w:val="center"/>
          </w:tcPr>
          <w:p w14:paraId="5DAFFEE8">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报警主机防区采集输入组件</w:t>
            </w:r>
          </w:p>
        </w:tc>
        <w:tc>
          <w:tcPr>
            <w:tcW w:w="3098" w:type="dxa"/>
            <w:tcBorders>
              <w:top w:val="single" w:color="auto" w:sz="4" w:space="0"/>
              <w:left w:val="single" w:color="auto" w:sz="4" w:space="0"/>
              <w:bottom w:val="single" w:color="auto" w:sz="4" w:space="0"/>
              <w:right w:val="single" w:color="auto" w:sz="4" w:space="0"/>
            </w:tcBorders>
            <w:vAlign w:val="center"/>
          </w:tcPr>
          <w:p w14:paraId="7B3E07CE">
            <w:pPr>
              <w:keepNext w:val="0"/>
              <w:keepLines w:val="0"/>
              <w:widowControl/>
              <w:suppressLineNumbers w:val="0"/>
              <w:jc w:val="left"/>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支持本地16路有线防区接入，兼容常开、常闭型探测器设备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适配各类安防探测设备信号采集，稳定识别防区异常状态</w:t>
            </w:r>
          </w:p>
        </w:tc>
        <w:tc>
          <w:tcPr>
            <w:tcW w:w="1083" w:type="dxa"/>
            <w:tcBorders>
              <w:top w:val="single" w:color="auto" w:sz="4" w:space="0"/>
              <w:left w:val="single" w:color="auto" w:sz="4" w:space="0"/>
              <w:bottom w:val="single" w:color="auto" w:sz="4" w:space="0"/>
              <w:right w:val="single" w:color="auto" w:sz="4" w:space="0"/>
            </w:tcBorders>
            <w:vAlign w:val="center"/>
          </w:tcPr>
          <w:p w14:paraId="4479E01B">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台</w:t>
            </w:r>
          </w:p>
        </w:tc>
        <w:tc>
          <w:tcPr>
            <w:tcW w:w="793" w:type="dxa"/>
            <w:tcBorders>
              <w:top w:val="single" w:color="auto" w:sz="4" w:space="0"/>
              <w:left w:val="single" w:color="auto" w:sz="4" w:space="0"/>
              <w:bottom w:val="single" w:color="auto" w:sz="4" w:space="0"/>
              <w:right w:val="single" w:color="auto" w:sz="4" w:space="0"/>
            </w:tcBorders>
            <w:vAlign w:val="center"/>
          </w:tcPr>
          <w:p w14:paraId="16AC99EE">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237</w:t>
            </w:r>
          </w:p>
        </w:tc>
        <w:tc>
          <w:tcPr>
            <w:tcW w:w="1283" w:type="dxa"/>
            <w:tcBorders>
              <w:top w:val="single" w:color="auto" w:sz="4" w:space="0"/>
              <w:left w:val="single" w:color="auto" w:sz="4" w:space="0"/>
              <w:bottom w:val="single" w:color="auto" w:sz="4" w:space="0"/>
              <w:right w:val="single" w:color="auto" w:sz="4" w:space="0"/>
            </w:tcBorders>
            <w:shd w:val="clear" w:color="auto" w:fill="FF0000"/>
            <w:vAlign w:val="center"/>
          </w:tcPr>
          <w:p w14:paraId="6064EB6C">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接供货通知后20日内</w:t>
            </w:r>
          </w:p>
        </w:tc>
        <w:tc>
          <w:tcPr>
            <w:tcW w:w="1674" w:type="dxa"/>
            <w:tcBorders>
              <w:top w:val="single" w:color="auto" w:sz="4" w:space="0"/>
              <w:left w:val="single" w:color="auto" w:sz="4" w:space="0"/>
              <w:bottom w:val="single" w:color="auto" w:sz="4" w:space="0"/>
              <w:right w:val="single" w:color="auto" w:sz="4" w:space="0"/>
            </w:tcBorders>
            <w:vAlign w:val="center"/>
          </w:tcPr>
          <w:p w14:paraId="3EC575BF">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36个月</w:t>
            </w:r>
          </w:p>
        </w:tc>
        <w:tc>
          <w:tcPr>
            <w:tcW w:w="1253" w:type="dxa"/>
            <w:tcBorders>
              <w:top w:val="single" w:color="auto" w:sz="4" w:space="0"/>
              <w:left w:val="single" w:color="auto" w:sz="4" w:space="0"/>
              <w:bottom w:val="single" w:color="auto" w:sz="4" w:space="0"/>
              <w:right w:val="single" w:color="auto" w:sz="4" w:space="0"/>
            </w:tcBorders>
            <w:vAlign w:val="center"/>
          </w:tcPr>
          <w:p w14:paraId="4EA54E6F">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买方指定地点</w:t>
            </w:r>
          </w:p>
        </w:tc>
        <w:tc>
          <w:tcPr>
            <w:tcW w:w="2061" w:type="dxa"/>
            <w:vMerge w:val="continue"/>
            <w:tcBorders>
              <w:left w:val="single" w:color="auto" w:sz="4" w:space="0"/>
              <w:right w:val="single" w:color="auto" w:sz="4" w:space="0"/>
            </w:tcBorders>
            <w:vAlign w:val="center"/>
          </w:tcPr>
          <w:p w14:paraId="366EBCE8">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p>
        </w:tc>
      </w:tr>
      <w:tr w14:paraId="7C925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6" w:hRule="atLeast"/>
          <w:jc w:val="center"/>
        </w:trPr>
        <w:tc>
          <w:tcPr>
            <w:tcW w:w="1306" w:type="dxa"/>
            <w:vMerge w:val="continue"/>
            <w:tcBorders>
              <w:left w:val="single" w:color="auto" w:sz="4" w:space="0"/>
              <w:right w:val="single" w:color="auto" w:sz="4" w:space="0"/>
            </w:tcBorders>
            <w:vAlign w:val="center"/>
          </w:tcPr>
          <w:p w14:paraId="26AADA23">
            <w:pPr>
              <w:widowControl/>
              <w:jc w:val="left"/>
              <w:rPr>
                <w:rFonts w:hint="eastAsia" w:ascii="宋体" w:hAnsi="宋体" w:eastAsia="宋体" w:cs="宋体"/>
                <w:b/>
                <w:bCs/>
                <w:sz w:val="24"/>
                <w:szCs w:val="24"/>
                <w:lang w:bidi="ar"/>
              </w:rPr>
            </w:pPr>
          </w:p>
        </w:tc>
        <w:tc>
          <w:tcPr>
            <w:tcW w:w="1264" w:type="dxa"/>
            <w:tcBorders>
              <w:top w:val="single" w:color="auto" w:sz="4" w:space="0"/>
              <w:left w:val="single" w:color="auto" w:sz="4" w:space="0"/>
              <w:bottom w:val="single" w:color="auto" w:sz="4" w:space="0"/>
              <w:right w:val="single" w:color="auto" w:sz="4" w:space="0"/>
            </w:tcBorders>
            <w:vAlign w:val="center"/>
          </w:tcPr>
          <w:p w14:paraId="05FFF07E">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报警联动输出组件</w:t>
            </w:r>
          </w:p>
        </w:tc>
        <w:tc>
          <w:tcPr>
            <w:tcW w:w="3098" w:type="dxa"/>
            <w:tcBorders>
              <w:top w:val="single" w:color="auto" w:sz="4" w:space="0"/>
              <w:left w:val="single" w:color="auto" w:sz="4" w:space="0"/>
              <w:bottom w:val="single" w:color="auto" w:sz="4" w:space="0"/>
              <w:right w:val="single" w:color="auto" w:sz="4" w:space="0"/>
            </w:tcBorders>
            <w:vAlign w:val="center"/>
          </w:tcPr>
          <w:p w14:paraId="1387460D">
            <w:pPr>
              <w:keepNext w:val="0"/>
              <w:keepLines w:val="0"/>
              <w:widowControl/>
              <w:suppressLineNumbers w:val="0"/>
              <w:jc w:val="left"/>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配备4路本地报警输出接口，支持全场景报警联动触发功能</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可联动配套安防设备，实现报警触发后的现场联动处置</w:t>
            </w:r>
          </w:p>
        </w:tc>
        <w:tc>
          <w:tcPr>
            <w:tcW w:w="1083" w:type="dxa"/>
            <w:tcBorders>
              <w:top w:val="single" w:color="auto" w:sz="4" w:space="0"/>
              <w:left w:val="single" w:color="auto" w:sz="4" w:space="0"/>
              <w:bottom w:val="single" w:color="auto" w:sz="4" w:space="0"/>
              <w:right w:val="single" w:color="auto" w:sz="4" w:space="0"/>
            </w:tcBorders>
            <w:vAlign w:val="center"/>
          </w:tcPr>
          <w:p w14:paraId="53B86317">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台</w:t>
            </w:r>
          </w:p>
        </w:tc>
        <w:tc>
          <w:tcPr>
            <w:tcW w:w="793" w:type="dxa"/>
            <w:tcBorders>
              <w:top w:val="single" w:color="auto" w:sz="4" w:space="0"/>
              <w:left w:val="single" w:color="auto" w:sz="4" w:space="0"/>
              <w:bottom w:val="single" w:color="auto" w:sz="4" w:space="0"/>
              <w:right w:val="single" w:color="auto" w:sz="4" w:space="0"/>
            </w:tcBorders>
            <w:vAlign w:val="center"/>
          </w:tcPr>
          <w:p w14:paraId="747AB4AE">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237</w:t>
            </w:r>
          </w:p>
        </w:tc>
        <w:tc>
          <w:tcPr>
            <w:tcW w:w="1283" w:type="dxa"/>
            <w:tcBorders>
              <w:top w:val="single" w:color="auto" w:sz="4" w:space="0"/>
              <w:left w:val="single" w:color="auto" w:sz="4" w:space="0"/>
              <w:bottom w:val="single" w:color="auto" w:sz="4" w:space="0"/>
              <w:right w:val="single" w:color="auto" w:sz="4" w:space="0"/>
            </w:tcBorders>
            <w:shd w:val="clear" w:color="auto" w:fill="FF0000"/>
            <w:vAlign w:val="center"/>
          </w:tcPr>
          <w:p w14:paraId="25344EEA">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接供货通知后20日内</w:t>
            </w:r>
          </w:p>
        </w:tc>
        <w:tc>
          <w:tcPr>
            <w:tcW w:w="1674" w:type="dxa"/>
            <w:tcBorders>
              <w:top w:val="single" w:color="auto" w:sz="4" w:space="0"/>
              <w:left w:val="single" w:color="auto" w:sz="4" w:space="0"/>
              <w:bottom w:val="single" w:color="auto" w:sz="4" w:space="0"/>
              <w:right w:val="single" w:color="auto" w:sz="4" w:space="0"/>
            </w:tcBorders>
            <w:vAlign w:val="center"/>
          </w:tcPr>
          <w:p w14:paraId="720DB907">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36个月</w:t>
            </w:r>
          </w:p>
        </w:tc>
        <w:tc>
          <w:tcPr>
            <w:tcW w:w="1253" w:type="dxa"/>
            <w:tcBorders>
              <w:top w:val="single" w:color="auto" w:sz="4" w:space="0"/>
              <w:left w:val="single" w:color="auto" w:sz="4" w:space="0"/>
              <w:bottom w:val="single" w:color="auto" w:sz="4" w:space="0"/>
              <w:right w:val="single" w:color="auto" w:sz="4" w:space="0"/>
            </w:tcBorders>
            <w:vAlign w:val="center"/>
          </w:tcPr>
          <w:p w14:paraId="4E08A8CD">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买方指定地点</w:t>
            </w:r>
          </w:p>
        </w:tc>
        <w:tc>
          <w:tcPr>
            <w:tcW w:w="2061" w:type="dxa"/>
            <w:vMerge w:val="continue"/>
            <w:tcBorders>
              <w:left w:val="single" w:color="auto" w:sz="4" w:space="0"/>
              <w:right w:val="single" w:color="auto" w:sz="4" w:space="0"/>
            </w:tcBorders>
            <w:vAlign w:val="center"/>
          </w:tcPr>
          <w:p w14:paraId="43F24190">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p>
        </w:tc>
      </w:tr>
      <w:tr w14:paraId="24A4C3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1" w:hRule="atLeast"/>
          <w:jc w:val="center"/>
        </w:trPr>
        <w:tc>
          <w:tcPr>
            <w:tcW w:w="1306" w:type="dxa"/>
            <w:vMerge w:val="continue"/>
            <w:tcBorders>
              <w:left w:val="single" w:color="auto" w:sz="4" w:space="0"/>
              <w:right w:val="single" w:color="auto" w:sz="4" w:space="0"/>
            </w:tcBorders>
            <w:vAlign w:val="center"/>
          </w:tcPr>
          <w:p w14:paraId="32A671F3">
            <w:pPr>
              <w:widowControl/>
              <w:jc w:val="left"/>
              <w:rPr>
                <w:rFonts w:hint="eastAsia" w:ascii="宋体" w:hAnsi="宋体" w:eastAsia="宋体" w:cs="宋体"/>
                <w:b/>
                <w:bCs/>
                <w:sz w:val="24"/>
                <w:szCs w:val="24"/>
                <w:lang w:bidi="ar"/>
              </w:rPr>
            </w:pPr>
          </w:p>
        </w:tc>
        <w:tc>
          <w:tcPr>
            <w:tcW w:w="1264" w:type="dxa"/>
            <w:tcBorders>
              <w:top w:val="single" w:color="auto" w:sz="4" w:space="0"/>
              <w:left w:val="single" w:color="auto" w:sz="4" w:space="0"/>
              <w:bottom w:val="single" w:color="auto" w:sz="4" w:space="0"/>
              <w:right w:val="single" w:color="auto" w:sz="4" w:space="0"/>
            </w:tcBorders>
            <w:vAlign w:val="center"/>
          </w:tcPr>
          <w:p w14:paraId="2FEFF971">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报警主机人机操控组件</w:t>
            </w:r>
          </w:p>
        </w:tc>
        <w:tc>
          <w:tcPr>
            <w:tcW w:w="3098" w:type="dxa"/>
            <w:tcBorders>
              <w:top w:val="single" w:color="auto" w:sz="4" w:space="0"/>
              <w:left w:val="single" w:color="auto" w:sz="4" w:space="0"/>
              <w:bottom w:val="single" w:color="auto" w:sz="4" w:space="0"/>
              <w:right w:val="single" w:color="auto" w:sz="4" w:space="0"/>
            </w:tcBorders>
            <w:vAlign w:val="center"/>
          </w:tcPr>
          <w:p w14:paraId="3A250CB2">
            <w:pPr>
              <w:keepNext w:val="0"/>
              <w:keepLines w:val="0"/>
              <w:widowControl/>
              <w:suppressLineNumbers w:val="0"/>
              <w:jc w:val="left"/>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配套LCD报警键盘：可显示报警防区号，支持设备布撤防操作、设备通讯状态查询</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配套报警主机遥控器：支持远程对各防区进行布防、撤防操作，操控便捷</w:t>
            </w:r>
          </w:p>
        </w:tc>
        <w:tc>
          <w:tcPr>
            <w:tcW w:w="1083" w:type="dxa"/>
            <w:tcBorders>
              <w:top w:val="single" w:color="auto" w:sz="4" w:space="0"/>
              <w:left w:val="single" w:color="auto" w:sz="4" w:space="0"/>
              <w:bottom w:val="single" w:color="auto" w:sz="4" w:space="0"/>
              <w:right w:val="single" w:color="auto" w:sz="4" w:space="0"/>
            </w:tcBorders>
            <w:vAlign w:val="center"/>
          </w:tcPr>
          <w:p w14:paraId="7EC97C31">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台</w:t>
            </w:r>
          </w:p>
        </w:tc>
        <w:tc>
          <w:tcPr>
            <w:tcW w:w="793" w:type="dxa"/>
            <w:tcBorders>
              <w:top w:val="single" w:color="auto" w:sz="4" w:space="0"/>
              <w:left w:val="single" w:color="auto" w:sz="4" w:space="0"/>
              <w:bottom w:val="single" w:color="auto" w:sz="4" w:space="0"/>
              <w:right w:val="single" w:color="auto" w:sz="4" w:space="0"/>
            </w:tcBorders>
            <w:vAlign w:val="center"/>
          </w:tcPr>
          <w:p w14:paraId="11ACE57C">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237</w:t>
            </w:r>
          </w:p>
        </w:tc>
        <w:tc>
          <w:tcPr>
            <w:tcW w:w="1283" w:type="dxa"/>
            <w:tcBorders>
              <w:top w:val="single" w:color="auto" w:sz="4" w:space="0"/>
              <w:left w:val="single" w:color="auto" w:sz="4" w:space="0"/>
              <w:bottom w:val="single" w:color="auto" w:sz="4" w:space="0"/>
              <w:right w:val="single" w:color="auto" w:sz="4" w:space="0"/>
            </w:tcBorders>
            <w:shd w:val="clear" w:color="auto" w:fill="FF0000"/>
            <w:vAlign w:val="center"/>
          </w:tcPr>
          <w:p w14:paraId="0866DDB7">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接供货通知后20日内</w:t>
            </w:r>
          </w:p>
        </w:tc>
        <w:tc>
          <w:tcPr>
            <w:tcW w:w="1674" w:type="dxa"/>
            <w:tcBorders>
              <w:top w:val="single" w:color="auto" w:sz="4" w:space="0"/>
              <w:left w:val="single" w:color="auto" w:sz="4" w:space="0"/>
              <w:bottom w:val="single" w:color="auto" w:sz="4" w:space="0"/>
              <w:right w:val="single" w:color="auto" w:sz="4" w:space="0"/>
            </w:tcBorders>
            <w:vAlign w:val="center"/>
          </w:tcPr>
          <w:p w14:paraId="00F10237">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36个月</w:t>
            </w:r>
          </w:p>
        </w:tc>
        <w:tc>
          <w:tcPr>
            <w:tcW w:w="1253" w:type="dxa"/>
            <w:tcBorders>
              <w:top w:val="single" w:color="auto" w:sz="4" w:space="0"/>
              <w:left w:val="single" w:color="auto" w:sz="4" w:space="0"/>
              <w:bottom w:val="single" w:color="auto" w:sz="4" w:space="0"/>
              <w:right w:val="single" w:color="auto" w:sz="4" w:space="0"/>
            </w:tcBorders>
            <w:vAlign w:val="center"/>
          </w:tcPr>
          <w:p w14:paraId="40C5BAE8">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买方指定地点</w:t>
            </w:r>
          </w:p>
        </w:tc>
        <w:tc>
          <w:tcPr>
            <w:tcW w:w="2061" w:type="dxa"/>
            <w:vMerge w:val="continue"/>
            <w:tcBorders>
              <w:left w:val="single" w:color="auto" w:sz="4" w:space="0"/>
              <w:right w:val="single" w:color="auto" w:sz="4" w:space="0"/>
            </w:tcBorders>
            <w:vAlign w:val="center"/>
          </w:tcPr>
          <w:p w14:paraId="63DFF1DC">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p>
        </w:tc>
      </w:tr>
      <w:tr w14:paraId="6A855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2" w:hRule="atLeast"/>
          <w:jc w:val="center"/>
        </w:trPr>
        <w:tc>
          <w:tcPr>
            <w:tcW w:w="1306" w:type="dxa"/>
            <w:vMerge w:val="continue"/>
            <w:tcBorders>
              <w:left w:val="single" w:color="auto" w:sz="4" w:space="0"/>
              <w:right w:val="single" w:color="auto" w:sz="4" w:space="0"/>
            </w:tcBorders>
            <w:vAlign w:val="center"/>
          </w:tcPr>
          <w:p w14:paraId="3D639EC7">
            <w:pPr>
              <w:widowControl/>
              <w:jc w:val="left"/>
              <w:rPr>
                <w:rFonts w:hint="eastAsia" w:ascii="宋体" w:hAnsi="宋体" w:eastAsia="宋体" w:cs="宋体"/>
                <w:b/>
                <w:bCs/>
                <w:sz w:val="24"/>
                <w:szCs w:val="24"/>
                <w:lang w:bidi="ar"/>
              </w:rPr>
            </w:pPr>
          </w:p>
        </w:tc>
        <w:tc>
          <w:tcPr>
            <w:tcW w:w="1264" w:type="dxa"/>
            <w:tcBorders>
              <w:top w:val="single" w:color="auto" w:sz="4" w:space="0"/>
              <w:left w:val="single" w:color="auto" w:sz="4" w:space="0"/>
              <w:bottom w:val="single" w:color="auto" w:sz="4" w:space="0"/>
              <w:right w:val="single" w:color="auto" w:sz="4" w:space="0"/>
            </w:tcBorders>
            <w:vAlign w:val="center"/>
          </w:tcPr>
          <w:p w14:paraId="23E112BB">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报警主机远程传输组件</w:t>
            </w:r>
          </w:p>
        </w:tc>
        <w:tc>
          <w:tcPr>
            <w:tcW w:w="3098" w:type="dxa"/>
            <w:tcBorders>
              <w:top w:val="single" w:color="auto" w:sz="4" w:space="0"/>
              <w:left w:val="single" w:color="auto" w:sz="4" w:space="0"/>
              <w:bottom w:val="single" w:color="auto" w:sz="4" w:space="0"/>
              <w:right w:val="single" w:color="auto" w:sz="4" w:space="0"/>
            </w:tcBorders>
            <w:vAlign w:val="center"/>
          </w:tcPr>
          <w:p w14:paraId="7F4819ED">
            <w:pPr>
              <w:keepNext w:val="0"/>
              <w:keepLines w:val="0"/>
              <w:widowControl/>
              <w:suppressLineNumbers w:val="0"/>
              <w:jc w:val="left"/>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配套电话报警模块：可对接110接警机，实现警务联动报警上报</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配套4G无线报警模块：支持报警联动电话拨号、短信推送、TTS语音提示告警</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支持集中式接入架构，所有报警输入、输出及通讯信号统一集中在RPU端完成采集、汇总与集中管理</w:t>
            </w:r>
          </w:p>
        </w:tc>
        <w:tc>
          <w:tcPr>
            <w:tcW w:w="1083" w:type="dxa"/>
            <w:tcBorders>
              <w:top w:val="single" w:color="auto" w:sz="4" w:space="0"/>
              <w:left w:val="single" w:color="auto" w:sz="4" w:space="0"/>
              <w:bottom w:val="single" w:color="auto" w:sz="4" w:space="0"/>
              <w:right w:val="single" w:color="auto" w:sz="4" w:space="0"/>
            </w:tcBorders>
            <w:vAlign w:val="center"/>
          </w:tcPr>
          <w:p w14:paraId="4B5E80F8">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台</w:t>
            </w:r>
          </w:p>
        </w:tc>
        <w:tc>
          <w:tcPr>
            <w:tcW w:w="793" w:type="dxa"/>
            <w:tcBorders>
              <w:top w:val="single" w:color="auto" w:sz="4" w:space="0"/>
              <w:left w:val="single" w:color="auto" w:sz="4" w:space="0"/>
              <w:bottom w:val="single" w:color="auto" w:sz="4" w:space="0"/>
              <w:right w:val="single" w:color="auto" w:sz="4" w:space="0"/>
            </w:tcBorders>
            <w:vAlign w:val="center"/>
          </w:tcPr>
          <w:p w14:paraId="77CFCD87">
            <w:pPr>
              <w:keepNext w:val="0"/>
              <w:keepLines w:val="0"/>
              <w:widowControl/>
              <w:suppressLineNumbers w:val="0"/>
              <w:jc w:val="center"/>
              <w:textAlignment w:val="center"/>
              <w:rPr>
                <w:rFonts w:hint="eastAsia" w:ascii="宋体" w:hAnsi="宋体" w:eastAsia="宋体" w:cs="宋体"/>
                <w:sz w:val="24"/>
                <w:szCs w:val="24"/>
                <w:lang w:bidi="ar"/>
              </w:rPr>
            </w:pPr>
            <w:r>
              <w:rPr>
                <w:rFonts w:hint="eastAsia" w:ascii="宋体" w:hAnsi="宋体" w:eastAsia="宋体" w:cs="宋体"/>
                <w:i w:val="0"/>
                <w:iCs w:val="0"/>
                <w:color w:val="000000"/>
                <w:kern w:val="0"/>
                <w:sz w:val="24"/>
                <w:szCs w:val="24"/>
                <w:u w:val="none"/>
                <w:lang w:val="en-US" w:eastAsia="zh-CN" w:bidi="ar"/>
              </w:rPr>
              <w:t>237</w:t>
            </w:r>
          </w:p>
        </w:tc>
        <w:tc>
          <w:tcPr>
            <w:tcW w:w="1283" w:type="dxa"/>
            <w:tcBorders>
              <w:top w:val="single" w:color="auto" w:sz="4" w:space="0"/>
              <w:left w:val="single" w:color="auto" w:sz="4" w:space="0"/>
              <w:bottom w:val="single" w:color="auto" w:sz="4" w:space="0"/>
              <w:right w:val="single" w:color="auto" w:sz="4" w:space="0"/>
            </w:tcBorders>
            <w:shd w:val="clear" w:color="auto" w:fill="FF0000"/>
            <w:vAlign w:val="center"/>
          </w:tcPr>
          <w:p w14:paraId="283AAE46">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接供货通知后20日内</w:t>
            </w:r>
          </w:p>
        </w:tc>
        <w:tc>
          <w:tcPr>
            <w:tcW w:w="1674" w:type="dxa"/>
            <w:tcBorders>
              <w:top w:val="single" w:color="auto" w:sz="4" w:space="0"/>
              <w:left w:val="single" w:color="auto" w:sz="4" w:space="0"/>
              <w:bottom w:val="single" w:color="auto" w:sz="4" w:space="0"/>
              <w:right w:val="single" w:color="auto" w:sz="4" w:space="0"/>
            </w:tcBorders>
            <w:vAlign w:val="center"/>
          </w:tcPr>
          <w:p w14:paraId="522C665C">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36个月</w:t>
            </w:r>
          </w:p>
        </w:tc>
        <w:tc>
          <w:tcPr>
            <w:tcW w:w="1253" w:type="dxa"/>
            <w:tcBorders>
              <w:top w:val="single" w:color="auto" w:sz="4" w:space="0"/>
              <w:left w:val="single" w:color="auto" w:sz="4" w:space="0"/>
              <w:bottom w:val="single" w:color="auto" w:sz="4" w:space="0"/>
              <w:right w:val="single" w:color="auto" w:sz="4" w:space="0"/>
            </w:tcBorders>
            <w:vAlign w:val="center"/>
          </w:tcPr>
          <w:p w14:paraId="232C132E">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r>
              <w:rPr>
                <w:rFonts w:hint="eastAsia" w:ascii="宋体" w:hAnsi="宋体" w:eastAsia="宋体" w:cs="宋体"/>
                <w:sz w:val="24"/>
                <w:szCs w:val="24"/>
                <w:lang w:val="en-US" w:eastAsia="zh-CN" w:bidi="ar"/>
              </w:rPr>
              <w:t>买方指定地点</w:t>
            </w:r>
          </w:p>
        </w:tc>
        <w:tc>
          <w:tcPr>
            <w:tcW w:w="2061" w:type="dxa"/>
            <w:vMerge w:val="continue"/>
            <w:tcBorders>
              <w:left w:val="single" w:color="auto" w:sz="4" w:space="0"/>
              <w:bottom w:val="single" w:color="auto" w:sz="4" w:space="0"/>
              <w:right w:val="single" w:color="auto" w:sz="4" w:space="0"/>
            </w:tcBorders>
            <w:vAlign w:val="center"/>
          </w:tcPr>
          <w:p w14:paraId="4EFD3DD2">
            <w:pPr>
              <w:pStyle w:val="20"/>
              <w:tabs>
                <w:tab w:val="left" w:pos="1620"/>
                <w:tab w:val="left" w:pos="7200"/>
              </w:tabs>
              <w:snapToGrid w:val="0"/>
              <w:spacing w:before="0" w:after="0" w:line="240" w:lineRule="auto"/>
              <w:jc w:val="center"/>
              <w:rPr>
                <w:rFonts w:hint="eastAsia" w:ascii="宋体" w:hAnsi="宋体" w:eastAsia="宋体" w:cs="宋体"/>
                <w:sz w:val="24"/>
                <w:szCs w:val="24"/>
                <w:lang w:val="en-US" w:eastAsia="zh-CN" w:bidi="ar"/>
              </w:rPr>
            </w:pPr>
          </w:p>
        </w:tc>
      </w:tr>
    </w:tbl>
    <w:p w14:paraId="75C0F15F">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具体供货不局限于上述产品。应包括上述产品相关配件，类似升级产品。</w:t>
      </w:r>
    </w:p>
    <w:p w14:paraId="6BB4CF1D">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p w14:paraId="41695FA7">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1.取得《国家电网有限公司集中规模招标采购供应商资质能力核实证明》</w:t>
      </w:r>
      <w:r>
        <w:rPr>
          <w:rFonts w:hint="eastAsia" w:ascii="宋体" w:hAnsi="宋体" w:eastAsia="宋体" w:cs="宋体"/>
          <w:color w:val="auto"/>
          <w:sz w:val="24"/>
          <w:szCs w:val="24"/>
          <w:highlight w:val="none"/>
          <w:lang w:eastAsia="zh-CN"/>
        </w:rPr>
        <w:t>或《国网智能科技股份有限公司集中规模招标采购供应商资质能力核实证明》</w:t>
      </w:r>
      <w:r>
        <w:rPr>
          <w:rFonts w:hint="eastAsia" w:ascii="宋体" w:hAnsi="宋体" w:eastAsia="宋体" w:cs="宋体"/>
          <w:color w:val="auto"/>
          <w:sz w:val="24"/>
          <w:szCs w:val="24"/>
          <w:highlight w:val="none"/>
        </w:rPr>
        <w:t>（以下简称《核实证明》）的投标人，应按要求使用该《核实证明》。《核实证明》含有的业绩、试验报告不能满足招标文件要求的，需要提供满足要求的业绩、试验报告等证明材料；未取得《核实证明》的，投标人需要提供对应支持证明材料。</w:t>
      </w:r>
    </w:p>
    <w:p w14:paraId="164BF8C9">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2.投标文件中提供的证明材料复印件应复印清晰、可辨认且不得遮盖、涂抹，否则视为无效。</w:t>
      </w:r>
    </w:p>
    <w:p w14:paraId="7992AA6C">
      <w:pPr>
        <w:keepNext w:val="0"/>
        <w:keepLines w:val="0"/>
        <w:pageBreakBefore w:val="0"/>
        <w:shd w:val="clear"/>
        <w:kinsoku/>
        <w:wordWrap/>
        <w:overflowPunct/>
        <w:topLinePunct w:val="0"/>
        <w:bidi w:val="0"/>
        <w:adjustRightInd w:val="0"/>
        <w:snapToGrid w:val="0"/>
        <w:spacing w:beforeLines="-2147483648" w:afterLines="-2147483648"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合同金额以所提供的发票及查验截图为准，业绩发票影印件后须附通过国家税务总局全国增值税发票查验平台（网址：https://inv-veri.chinatax.gov.cn/）查验的发票结果截图，“一发票一截图”，业绩认定时间以合同签订时间为准，合同签订时间不得晚于项目“专用业绩要求”中要求的时间。未提供发票或未提供对应发票查验结果截图的或合同签订时间晚于项目“专用业绩要求”中要求的时间的业绩不予认可。所有业绩支撑证明材料内容须保证清晰、可辨认且不得遮盖、涂抹。</w:t>
      </w:r>
    </w:p>
    <w:sectPr>
      <w:footerReference r:id="rId4" w:type="default"/>
      <w:pgSz w:w="16838" w:h="11906" w:orient="landscape"/>
      <w:pgMar w:top="1134" w:right="1440" w:bottom="1134" w:left="1440" w:header="851" w:footer="992"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Microsoft JhengHe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2F4FE1">
    <w:pPr>
      <w:pStyle w:val="8"/>
      <w:spacing w:beforeLines="0" w:afterLines="0"/>
      <w:jc w:val="center"/>
      <w:rPr>
        <w:rFonts w:hint="eastAsia" w:eastAsia="等线"/>
        <w:sz w:val="18"/>
        <w:szCs w:val="18"/>
      </w:rPr>
    </w:pPr>
    <w:r>
      <w:rPr>
        <w:rFonts w:hint="default"/>
        <w:sz w:val="18"/>
        <w:szCs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wps:spPr>
                    <wps:txbx>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M+L3UTQAAAAAgEAAA8AAAAAAAAAAQAgAAAAIgAAAGRycy9kb3du&#10;cmV2LnhtbFBLAQIUABQAAAAIAIdO4kDXOMk/zgEAAJYDAAAOAAAAAAAAAAEAIAAAAB8BAABkcnMv&#10;ZTJvRG9jLnhtbFBLBQYAAAAABgAGAFkBAABfBQAAAAA=&#10;">
              <v:fill on="f" focussize="0,0"/>
              <v:stroke on="f"/>
              <v:imagedata o:title=""/>
              <o:lock v:ext="edit" aspectratio="f"/>
              <v:textbox inset="0mm,0mm,0mm,0mm" style="mso-fit-shape-to-text:t;">
                <w:txbxContent>
                  <w:p w14:paraId="7DA4308A">
                    <w:pPr>
                      <w:pStyle w:val="8"/>
                      <w:spacing w:beforeLines="0" w:afterLines="0"/>
                      <w:rPr>
                        <w:rFonts w:hint="default" w:eastAsia="宋体"/>
                        <w:sz w:val="18"/>
                        <w:szCs w:val="18"/>
                      </w:rPr>
                    </w:pPr>
                    <w:r>
                      <w:rPr>
                        <w:rFonts w:hint="eastAsia" w:eastAsia="宋体"/>
                        <w:sz w:val="18"/>
                        <w:szCs w:val="18"/>
                      </w:rPr>
                      <w:fldChar w:fldCharType="begin"/>
                    </w:r>
                    <w:r>
                      <w:rPr>
                        <w:rFonts w:hint="eastAsia" w:eastAsia="宋体"/>
                        <w:sz w:val="18"/>
                        <w:szCs w:val="18"/>
                      </w:rPr>
                      <w:instrText xml:space="preserve"> PAGE  \* MERGEFORMAT </w:instrText>
                    </w:r>
                    <w:r>
                      <w:rPr>
                        <w:rFonts w:hint="eastAsia" w:eastAsia="宋体"/>
                        <w:sz w:val="18"/>
                        <w:szCs w:val="18"/>
                      </w:rPr>
                      <w:fldChar w:fldCharType="separate"/>
                    </w:r>
                    <w:r>
                      <w:rPr>
                        <w:rFonts w:hint="eastAsia" w:eastAsia="宋体"/>
                        <w:sz w:val="18"/>
                        <w:szCs w:val="18"/>
                      </w:rPr>
                      <w:t>6</w:t>
                    </w:r>
                    <w:r>
                      <w:rPr>
                        <w:rFonts w:hint="eastAsia" w:eastAsia="宋体"/>
                        <w:sz w:val="18"/>
                        <w:szCs w:val="18"/>
                      </w:rPr>
                      <w:fldChar w:fldCharType="end"/>
                    </w:r>
                  </w:p>
                </w:txbxContent>
              </v:textbox>
            </v:shape>
          </w:pict>
        </mc:Fallback>
      </mc:AlternateContent>
    </w:r>
    <w:r>
      <w:rPr>
        <w:rFonts w:hint="eastAsia" w:eastAsia="等线"/>
        <w:sz w:val="18"/>
        <w:szCs w:val="18"/>
      </w:rPr>
      <w:t xml:space="preserve">     </w:t>
    </w:r>
  </w:p>
  <w:p w14:paraId="4C1BA968">
    <w:pPr>
      <w:pStyle w:val="8"/>
      <w:spacing w:beforeLines="0" w:afterLines="0"/>
      <w:rPr>
        <w:rFonts w:hint="default"/>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HorizontalSpacing w:val="210"/>
  <w:drawingGridVerticalSpacing w:val="156"/>
  <w:displayHorizontalDrawingGridEvery w:val="1"/>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F4B3000"/>
    <w:rsid w:val="00771B68"/>
    <w:rsid w:val="02FB6D7F"/>
    <w:rsid w:val="04DD2DFD"/>
    <w:rsid w:val="07AF45F8"/>
    <w:rsid w:val="0A480BA7"/>
    <w:rsid w:val="0BD15F6D"/>
    <w:rsid w:val="114F49C7"/>
    <w:rsid w:val="16CB2FFD"/>
    <w:rsid w:val="1B42758B"/>
    <w:rsid w:val="1F4B3000"/>
    <w:rsid w:val="21482759"/>
    <w:rsid w:val="247A4BEB"/>
    <w:rsid w:val="37DC3A83"/>
    <w:rsid w:val="38CB6BFE"/>
    <w:rsid w:val="39333B77"/>
    <w:rsid w:val="3FE61322"/>
    <w:rsid w:val="4A5767AB"/>
    <w:rsid w:val="514069CC"/>
    <w:rsid w:val="51D14780"/>
    <w:rsid w:val="525E5C4F"/>
    <w:rsid w:val="549C0FFA"/>
    <w:rsid w:val="5523255D"/>
    <w:rsid w:val="584C1AF9"/>
    <w:rsid w:val="60601D56"/>
    <w:rsid w:val="6247029B"/>
    <w:rsid w:val="77A61258"/>
    <w:rsid w:val="7C1E1D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nhideWhenUsed/>
    <w:qFormat/>
    <w:uiPriority w:val="0"/>
    <w:pPr>
      <w:widowControl w:val="0"/>
      <w:spacing w:beforeLines="0" w:afterLines="0"/>
      <w:jc w:val="both"/>
    </w:pPr>
    <w:rPr>
      <w:rFonts w:hint="eastAsia" w:ascii="等线" w:hAnsi="等线" w:eastAsia="等线" w:cs="Times New Roman"/>
      <w:kern w:val="2"/>
      <w:sz w:val="21"/>
      <w:szCs w:val="22"/>
      <w:lang w:val="en-US" w:eastAsia="zh-CN" w:bidi="ar-SA"/>
    </w:rPr>
  </w:style>
  <w:style w:type="paragraph" w:styleId="7">
    <w:name w:val="heading 2"/>
    <w:basedOn w:val="1"/>
    <w:next w:val="1"/>
    <w:unhideWhenUsed/>
    <w:qFormat/>
    <w:uiPriority w:val="0"/>
    <w:pPr>
      <w:autoSpaceDE w:val="0"/>
      <w:autoSpaceDN w:val="0"/>
      <w:spacing w:beforeLines="0" w:afterLines="0"/>
      <w:ind w:left="801" w:hanging="401"/>
      <w:jc w:val="left"/>
      <w:outlineLvl w:val="1"/>
    </w:pPr>
    <w:rPr>
      <w:rFonts w:hint="eastAsia" w:ascii="Microsoft JhengHei" w:hAnsi="Microsoft JhengHei" w:eastAsia="Microsoft JhengHei" w:cs="Microsoft JhengHei"/>
      <w:b/>
      <w:sz w:val="32"/>
      <w:szCs w:val="32"/>
      <w:lang w:val="zh-CN"/>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left="0" w:leftChars="0" w:firstLine="420"/>
    </w:pPr>
    <w:rPr>
      <w:rFonts w:ascii="Times New Roman" w:hAnsi="Times New Roman"/>
      <w:szCs w:val="24"/>
    </w:rPr>
  </w:style>
  <w:style w:type="paragraph" w:styleId="3">
    <w:name w:val="Body Text Indent"/>
    <w:basedOn w:val="1"/>
    <w:next w:val="4"/>
    <w:unhideWhenUsed/>
    <w:qFormat/>
    <w:uiPriority w:val="0"/>
    <w:pPr>
      <w:spacing w:after="120"/>
      <w:ind w:left="420" w:leftChars="200"/>
    </w:pPr>
  </w:style>
  <w:style w:type="paragraph" w:styleId="4">
    <w:name w:val="envelope return"/>
    <w:basedOn w:val="1"/>
    <w:qFormat/>
    <w:uiPriority w:val="99"/>
    <w:pPr>
      <w:snapToGrid w:val="0"/>
    </w:pPr>
    <w:rPr>
      <w:rFonts w:ascii="Arial" w:hAnsi="Arial" w:cs="Arial"/>
      <w:szCs w:val="24"/>
    </w:rPr>
  </w:style>
  <w:style w:type="paragraph" w:customStyle="1" w:styleId="5">
    <w:name w:val="表格文字"/>
    <w:basedOn w:val="6"/>
    <w:next w:val="1"/>
    <w:qFormat/>
    <w:uiPriority w:val="0"/>
    <w:pPr>
      <w:ind w:firstLine="0" w:firstLineChars="0"/>
      <w:jc w:val="center"/>
    </w:pPr>
    <w:rPr>
      <w:szCs w:val="20"/>
    </w:rPr>
  </w:style>
  <w:style w:type="paragraph" w:styleId="6">
    <w:name w:val="List"/>
    <w:basedOn w:val="1"/>
    <w:qFormat/>
    <w:uiPriority w:val="0"/>
    <w:pPr>
      <w:ind w:left="200" w:hanging="200" w:hangingChars="200"/>
      <w:contextualSpacing/>
    </w:pPr>
  </w:style>
  <w:style w:type="paragraph" w:styleId="8">
    <w:name w:val="footer"/>
    <w:basedOn w:val="1"/>
    <w:unhideWhenUsed/>
    <w:qFormat/>
    <w:uiPriority w:val="99"/>
    <w:pPr>
      <w:tabs>
        <w:tab w:val="center" w:pos="4153"/>
        <w:tab w:val="right" w:pos="8306"/>
      </w:tabs>
      <w:snapToGrid w:val="0"/>
      <w:spacing w:beforeLines="0" w:afterLines="0"/>
      <w:jc w:val="left"/>
    </w:pPr>
    <w:rPr>
      <w:rFonts w:hint="eastAsia"/>
      <w:sz w:val="18"/>
      <w:szCs w:val="18"/>
    </w:rPr>
  </w:style>
  <w:style w:type="paragraph" w:customStyle="1" w:styleId="11">
    <w:name w:val="正文文本2"/>
    <w:basedOn w:val="1"/>
    <w:unhideWhenUsed/>
    <w:qFormat/>
    <w:uiPriority w:val="0"/>
    <w:pPr>
      <w:autoSpaceDE w:val="0"/>
      <w:autoSpaceDN w:val="0"/>
      <w:spacing w:beforeLines="0" w:afterLines="0"/>
      <w:jc w:val="left"/>
    </w:pPr>
    <w:rPr>
      <w:rFonts w:hint="eastAsia" w:ascii="宋体" w:hAnsi="宋体" w:eastAsia="宋体"/>
      <w:sz w:val="20"/>
      <w:szCs w:val="21"/>
      <w:lang w:val="zh-CN"/>
    </w:rPr>
  </w:style>
  <w:style w:type="paragraph" w:customStyle="1" w:styleId="12">
    <w:name w:val="Normal_1"/>
    <w:autoRedefine/>
    <w:qFormat/>
    <w:uiPriority w:val="0"/>
    <w:pPr>
      <w:widowControl w:val="0"/>
      <w:jc w:val="both"/>
    </w:pPr>
    <w:rPr>
      <w:rFonts w:ascii="Times New Roman" w:hAnsi="Times New Roman" w:eastAsia="宋体" w:cs="Times New Roman"/>
      <w:lang w:val="en-US" w:eastAsia="zh-CN" w:bidi="ar-SA"/>
    </w:rPr>
  </w:style>
  <w:style w:type="paragraph" w:styleId="13">
    <w:name w:val="List Paragraph"/>
    <w:basedOn w:val="1"/>
    <w:qFormat/>
    <w:uiPriority w:val="34"/>
    <w:pPr>
      <w:ind w:firstLine="420" w:firstLineChars="200"/>
    </w:pPr>
  </w:style>
  <w:style w:type="character" w:customStyle="1" w:styleId="14">
    <w:name w:val="font11"/>
    <w:basedOn w:val="10"/>
    <w:qFormat/>
    <w:uiPriority w:val="0"/>
    <w:rPr>
      <w:rFonts w:hint="eastAsia" w:ascii="宋体" w:hAnsi="宋体" w:eastAsia="宋体" w:cs="宋体"/>
      <w:color w:val="000000"/>
      <w:sz w:val="21"/>
      <w:szCs w:val="21"/>
      <w:u w:val="none"/>
    </w:rPr>
  </w:style>
  <w:style w:type="character" w:customStyle="1" w:styleId="15">
    <w:name w:val="font112"/>
    <w:basedOn w:val="10"/>
    <w:qFormat/>
    <w:uiPriority w:val="0"/>
    <w:rPr>
      <w:rFonts w:hint="eastAsia" w:ascii="宋体" w:hAnsi="宋体" w:eastAsia="宋体" w:cs="宋体"/>
      <w:color w:val="FF0000"/>
      <w:sz w:val="21"/>
      <w:szCs w:val="21"/>
      <w:u w:val="none"/>
    </w:rPr>
  </w:style>
  <w:style w:type="character" w:customStyle="1" w:styleId="16">
    <w:name w:val="font131"/>
    <w:basedOn w:val="10"/>
    <w:qFormat/>
    <w:uiPriority w:val="0"/>
    <w:rPr>
      <w:rFonts w:hint="default" w:ascii="Times New Roman" w:hAnsi="Times New Roman" w:cs="Times New Roman"/>
      <w:color w:val="000000"/>
      <w:sz w:val="21"/>
      <w:szCs w:val="21"/>
      <w:u w:val="none"/>
    </w:rPr>
  </w:style>
  <w:style w:type="character" w:customStyle="1" w:styleId="17">
    <w:name w:val="font61"/>
    <w:basedOn w:val="10"/>
    <w:qFormat/>
    <w:uiPriority w:val="0"/>
    <w:rPr>
      <w:rFonts w:hint="eastAsia" w:ascii="宋体" w:hAnsi="宋体" w:eastAsia="宋体" w:cs="宋体"/>
      <w:color w:val="000000"/>
      <w:sz w:val="18"/>
      <w:szCs w:val="18"/>
      <w:u w:val="none"/>
    </w:rPr>
  </w:style>
  <w:style w:type="character" w:customStyle="1" w:styleId="18">
    <w:name w:val="font41"/>
    <w:basedOn w:val="10"/>
    <w:qFormat/>
    <w:uiPriority w:val="0"/>
    <w:rPr>
      <w:rFonts w:ascii="Arial" w:hAnsi="Arial" w:cs="Arial"/>
      <w:color w:val="000000"/>
      <w:sz w:val="20"/>
      <w:szCs w:val="20"/>
      <w:u w:val="none"/>
    </w:rPr>
  </w:style>
  <w:style w:type="character" w:customStyle="1" w:styleId="19">
    <w:name w:val="font51"/>
    <w:basedOn w:val="10"/>
    <w:qFormat/>
    <w:uiPriority w:val="0"/>
    <w:rPr>
      <w:rFonts w:hint="eastAsia" w:ascii="宋体" w:hAnsi="宋体" w:eastAsia="宋体" w:cs="宋体"/>
      <w:color w:val="000000"/>
      <w:sz w:val="22"/>
      <w:szCs w:val="22"/>
      <w:u w:val="none"/>
    </w:rPr>
  </w:style>
  <w:style w:type="paragraph" w:customStyle="1" w:styleId="20">
    <w:name w:val="样式3"/>
    <w:basedOn w:val="1"/>
    <w:qFormat/>
    <w:uiPriority w:val="0"/>
    <w:pPr>
      <w:adjustRightInd w:val="0"/>
      <w:spacing w:before="330" w:after="160" w:line="490" w:lineRule="exact"/>
    </w:pPr>
    <w:rPr>
      <w:rFonts w:ascii="Arial" w:hAnsi="Arial" w:eastAsia="黑体"/>
      <w:sz w:val="2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7552</Words>
  <Characters>8427</Characters>
  <Lines>0</Lines>
  <Paragraphs>0</Paragraphs>
  <TotalTime>1</TotalTime>
  <ScaleCrop>false</ScaleCrop>
  <LinksUpToDate>false</LinksUpToDate>
  <CharactersWithSpaces>8447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2026-06-12T06:39:00Z</dcterms:created>
  <dc:creator>北辰</dc:creator>
  <cp:lastModifiedBy>韩梅17660167329</cp:lastModifiedBy>
  <dcterms:modified xsi:type="dcterms:W3CDTF">2026-08-12T10:32:25Z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74B1ACCDC5ED48B2B5AE042B385A0A8D_13</vt:lpwstr>
  </property>
  <property fmtid="{D5CDD505-2E9C-101B-9397-08002B2CF9AE}" pid="4" name="KSOTemplateDocerSaveRecord">
    <vt:lpwstr>eyJoZGlkIjoiYWYyNmUzZTIxOTM2NWQ5NGQwNDYxODU3N2MzMjZhNzAiLCJ1c2VySWQiOiI5NjA4MzkzNTgifQ==</vt:lpwstr>
  </property>
</Properties>
</file>