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8234F1">
      <w:pPr>
        <w:pStyle w:val="9"/>
        <w:shd w:val="clear"/>
        <w:spacing w:beforeLines="0" w:afterLines="0"/>
        <w:rPr>
          <w:rFonts w:hint="eastAsia" w:ascii="黑体" w:hAnsi="黑体" w:eastAsia="黑体" w:cs="黑体"/>
          <w:b/>
          <w:color w:val="auto"/>
          <w:kern w:val="2"/>
          <w:sz w:val="24"/>
          <w:szCs w:val="24"/>
          <w:highlight w:val="none"/>
          <w:lang w:val="en-US"/>
        </w:rPr>
      </w:pPr>
      <w:bookmarkStart w:id="0" w:name="_GoBack"/>
      <w:bookmarkEnd w:id="0"/>
      <w:r>
        <w:rPr>
          <w:rFonts w:hint="eastAsia" w:ascii="黑体" w:hAnsi="黑体" w:eastAsia="黑体" w:cs="黑体"/>
          <w:b/>
          <w:color w:val="auto"/>
          <w:kern w:val="2"/>
          <w:sz w:val="24"/>
          <w:szCs w:val="24"/>
          <w:highlight w:val="none"/>
          <w:lang w:val="en-US"/>
        </w:rPr>
        <w:t>招标公告附件</w:t>
      </w:r>
    </w:p>
    <w:p w14:paraId="0370D09B">
      <w:pPr>
        <w:pStyle w:val="9"/>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分标一：设备耗材及配件采购项目</w:t>
      </w:r>
    </w:p>
    <w:p w14:paraId="626027F5">
      <w:pPr>
        <w:pStyle w:val="9"/>
        <w:shd w:val="clear"/>
        <w:spacing w:beforeLines="0" w:afterLines="0"/>
        <w:rPr>
          <w:rFonts w:hint="eastAsia"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分标编号：CY0626SWWP66FZ01</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1022"/>
        <w:gridCol w:w="554"/>
        <w:gridCol w:w="554"/>
        <w:gridCol w:w="1544"/>
        <w:gridCol w:w="671"/>
        <w:gridCol w:w="1485"/>
        <w:gridCol w:w="1174"/>
        <w:gridCol w:w="3564"/>
        <w:gridCol w:w="1435"/>
      </w:tblGrid>
      <w:tr w14:paraId="47A9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0" w:type="auto"/>
            <w:vAlign w:val="center"/>
          </w:tcPr>
          <w:p w14:paraId="455F0C1B">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项目名称及包号</w:t>
            </w:r>
          </w:p>
        </w:tc>
        <w:tc>
          <w:tcPr>
            <w:tcW w:w="0" w:type="auto"/>
            <w:vAlign w:val="center"/>
          </w:tcPr>
          <w:p w14:paraId="56B18CC8">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66D3F168">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216AAB11">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10DF3293">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w:t>
            </w:r>
          </w:p>
          <w:p w14:paraId="49F0CF1E">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日期</w:t>
            </w:r>
          </w:p>
        </w:tc>
        <w:tc>
          <w:tcPr>
            <w:tcW w:w="0" w:type="auto"/>
            <w:vAlign w:val="center"/>
          </w:tcPr>
          <w:p w14:paraId="0179EBC0">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51727169">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2AD06668">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3563" w:type="dxa"/>
            <w:vAlign w:val="center"/>
          </w:tcPr>
          <w:p w14:paraId="66A97B9F">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1435" w:type="dxa"/>
            <w:vAlign w:val="center"/>
          </w:tcPr>
          <w:p w14:paraId="6F857821">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0BA4B8C5">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65305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0" w:type="auto"/>
            <w:vAlign w:val="center"/>
          </w:tcPr>
          <w:p w14:paraId="7A7B218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设备耗材及配件采购项目（包一</w:t>
            </w:r>
            <w:r>
              <w:rPr>
                <w:rFonts w:ascii="仿宋" w:hAnsi="仿宋" w:eastAsia="仿宋" w:cs="Arial"/>
                <w:color w:val="auto"/>
                <w:kern w:val="0"/>
                <w:sz w:val="22"/>
                <w:szCs w:val="22"/>
                <w:highlight w:val="none"/>
              </w:rPr>
              <w:t>）</w:t>
            </w:r>
          </w:p>
        </w:tc>
        <w:tc>
          <w:tcPr>
            <w:tcW w:w="0" w:type="auto"/>
            <w:vAlign w:val="center"/>
          </w:tcPr>
          <w:p w14:paraId="0980603D">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详见技术规范</w:t>
            </w:r>
          </w:p>
        </w:tc>
        <w:tc>
          <w:tcPr>
            <w:tcW w:w="0" w:type="auto"/>
            <w:shd w:val="clear" w:color="000000" w:fill="FFFFFF"/>
            <w:vAlign w:val="center"/>
          </w:tcPr>
          <w:p w14:paraId="32D880B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宗</w:t>
            </w:r>
          </w:p>
        </w:tc>
        <w:tc>
          <w:tcPr>
            <w:tcW w:w="0" w:type="auto"/>
            <w:shd w:val="clear" w:color="000000" w:fill="FFFFFF"/>
            <w:vAlign w:val="center"/>
          </w:tcPr>
          <w:p w14:paraId="6C3EEA94">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w:t>
            </w:r>
          </w:p>
        </w:tc>
        <w:tc>
          <w:tcPr>
            <w:tcW w:w="0" w:type="auto"/>
            <w:vMerge w:val="restart"/>
            <w:vAlign w:val="center"/>
          </w:tcPr>
          <w:p w14:paraId="2E8B8ED1">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接到供货通知后15日内</w:t>
            </w:r>
          </w:p>
        </w:tc>
        <w:tc>
          <w:tcPr>
            <w:tcW w:w="0" w:type="auto"/>
            <w:vMerge w:val="restart"/>
            <w:vAlign w:val="center"/>
          </w:tcPr>
          <w:p w14:paraId="6A8A668D">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3年</w:t>
            </w:r>
          </w:p>
        </w:tc>
        <w:tc>
          <w:tcPr>
            <w:tcW w:w="0" w:type="auto"/>
            <w:vMerge w:val="restart"/>
            <w:vAlign w:val="center"/>
          </w:tcPr>
          <w:p w14:paraId="6FED4F8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Align w:val="center"/>
          </w:tcPr>
          <w:p w14:paraId="664BB720">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集货商</w:t>
            </w:r>
          </w:p>
        </w:tc>
        <w:tc>
          <w:tcPr>
            <w:tcW w:w="3563" w:type="dxa"/>
            <w:vAlign w:val="center"/>
          </w:tcPr>
          <w:p w14:paraId="10CC09A9">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2023年1月1日至招标公告发布之日内，具有电力试验、监测设备或组件类产品累计销售业绩不少于150万。</w:t>
            </w:r>
            <w:r>
              <w:rPr>
                <w:rFonts w:hint="eastAsia" w:ascii="仿宋" w:hAnsi="仿宋" w:eastAsia="仿宋" w:cs="宋体"/>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1435" w:type="dxa"/>
            <w:vAlign w:val="center"/>
          </w:tcPr>
          <w:p w14:paraId="13C98884">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lang w:val="en-US" w:eastAsia="zh-CN"/>
              </w:rPr>
              <w:t>2.4</w:t>
            </w:r>
          </w:p>
        </w:tc>
      </w:tr>
      <w:tr w14:paraId="7B42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0" w:type="auto"/>
            <w:vAlign w:val="center"/>
          </w:tcPr>
          <w:p w14:paraId="79C07985">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设备耗材及配件采购项目(包二)</w:t>
            </w:r>
          </w:p>
        </w:tc>
        <w:tc>
          <w:tcPr>
            <w:tcW w:w="0" w:type="auto"/>
            <w:vAlign w:val="center"/>
          </w:tcPr>
          <w:p w14:paraId="77C558DF">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详见技术规范</w:t>
            </w:r>
          </w:p>
        </w:tc>
        <w:tc>
          <w:tcPr>
            <w:tcW w:w="0" w:type="auto"/>
            <w:shd w:val="clear" w:color="000000" w:fill="FFFFFF"/>
            <w:vAlign w:val="center"/>
          </w:tcPr>
          <w:p w14:paraId="350E768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宗</w:t>
            </w:r>
          </w:p>
        </w:tc>
        <w:tc>
          <w:tcPr>
            <w:tcW w:w="0" w:type="auto"/>
            <w:shd w:val="clear" w:color="000000" w:fill="FFFFFF"/>
            <w:vAlign w:val="center"/>
          </w:tcPr>
          <w:p w14:paraId="48748EFF">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w:t>
            </w:r>
          </w:p>
        </w:tc>
        <w:tc>
          <w:tcPr>
            <w:tcW w:w="0" w:type="auto"/>
            <w:vMerge w:val="continue"/>
            <w:vAlign w:val="center"/>
          </w:tcPr>
          <w:p w14:paraId="6CF317A5">
            <w:pPr>
              <w:widowControl/>
              <w:shd w:val="clear"/>
              <w:jc w:val="center"/>
              <w:rPr>
                <w:rFonts w:hint="eastAsia" w:ascii="仿宋" w:hAnsi="仿宋" w:eastAsia="仿宋" w:cs="Arial"/>
                <w:color w:val="auto"/>
                <w:kern w:val="0"/>
                <w:sz w:val="22"/>
                <w:szCs w:val="22"/>
                <w:highlight w:val="none"/>
              </w:rPr>
            </w:pPr>
          </w:p>
        </w:tc>
        <w:tc>
          <w:tcPr>
            <w:tcW w:w="0" w:type="auto"/>
            <w:vMerge w:val="continue"/>
            <w:vAlign w:val="center"/>
          </w:tcPr>
          <w:p w14:paraId="01C14986">
            <w:pPr>
              <w:widowControl/>
              <w:shd w:val="clear"/>
              <w:jc w:val="center"/>
              <w:rPr>
                <w:rFonts w:hint="eastAsia" w:ascii="仿宋" w:hAnsi="仿宋" w:eastAsia="仿宋" w:cs="Arial"/>
                <w:color w:val="auto"/>
                <w:kern w:val="0"/>
                <w:sz w:val="22"/>
                <w:szCs w:val="22"/>
                <w:highlight w:val="none"/>
              </w:rPr>
            </w:pPr>
          </w:p>
        </w:tc>
        <w:tc>
          <w:tcPr>
            <w:tcW w:w="0" w:type="auto"/>
            <w:vMerge w:val="continue"/>
            <w:vAlign w:val="center"/>
          </w:tcPr>
          <w:p w14:paraId="74F90187">
            <w:pPr>
              <w:widowControl/>
              <w:shd w:val="clear"/>
              <w:jc w:val="center"/>
              <w:rPr>
                <w:rFonts w:hint="eastAsia" w:ascii="仿宋" w:hAnsi="仿宋" w:eastAsia="仿宋" w:cs="Arial"/>
                <w:color w:val="auto"/>
                <w:kern w:val="0"/>
                <w:sz w:val="22"/>
                <w:szCs w:val="22"/>
                <w:highlight w:val="none"/>
              </w:rPr>
            </w:pPr>
          </w:p>
        </w:tc>
        <w:tc>
          <w:tcPr>
            <w:tcW w:w="1174" w:type="dxa"/>
            <w:vAlign w:val="center"/>
          </w:tcPr>
          <w:p w14:paraId="73A86E7F">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集货商</w:t>
            </w:r>
          </w:p>
        </w:tc>
        <w:tc>
          <w:tcPr>
            <w:tcW w:w="3563" w:type="dxa"/>
            <w:vAlign w:val="center"/>
          </w:tcPr>
          <w:p w14:paraId="0A12A351">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2023年1月1日至招标公告发布之日内，具有电力试验、监测设备或组件类产品累计销售业绩不少于150万。</w:t>
            </w:r>
            <w:r>
              <w:rPr>
                <w:rFonts w:hint="eastAsia" w:ascii="仿宋" w:hAnsi="仿宋" w:eastAsia="仿宋" w:cs="宋体"/>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1435" w:type="dxa"/>
            <w:vAlign w:val="center"/>
          </w:tcPr>
          <w:p w14:paraId="4EDA08F7">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lang w:val="en-US" w:eastAsia="zh-CN"/>
              </w:rPr>
              <w:t>1.7</w:t>
            </w:r>
          </w:p>
        </w:tc>
      </w:tr>
      <w:tr w14:paraId="5059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0" w:type="auto"/>
            <w:vAlign w:val="center"/>
          </w:tcPr>
          <w:p w14:paraId="59511F03">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设备耗材及配件采购项目(包三)</w:t>
            </w:r>
          </w:p>
        </w:tc>
        <w:tc>
          <w:tcPr>
            <w:tcW w:w="0" w:type="auto"/>
            <w:vAlign w:val="center"/>
          </w:tcPr>
          <w:p w14:paraId="70D85BC3">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详见技术规范</w:t>
            </w:r>
          </w:p>
        </w:tc>
        <w:tc>
          <w:tcPr>
            <w:tcW w:w="0" w:type="auto"/>
            <w:shd w:val="clear" w:color="000000" w:fill="FFFFFF"/>
            <w:vAlign w:val="center"/>
          </w:tcPr>
          <w:p w14:paraId="0E63FBE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宗</w:t>
            </w:r>
          </w:p>
        </w:tc>
        <w:tc>
          <w:tcPr>
            <w:tcW w:w="0" w:type="auto"/>
            <w:shd w:val="clear" w:color="000000" w:fill="FFFFFF"/>
            <w:vAlign w:val="center"/>
          </w:tcPr>
          <w:p w14:paraId="5F78D33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w:t>
            </w:r>
          </w:p>
        </w:tc>
        <w:tc>
          <w:tcPr>
            <w:tcW w:w="0" w:type="auto"/>
            <w:vMerge w:val="continue"/>
            <w:vAlign w:val="center"/>
          </w:tcPr>
          <w:p w14:paraId="5B721533">
            <w:pPr>
              <w:widowControl/>
              <w:shd w:val="clear"/>
              <w:jc w:val="center"/>
              <w:rPr>
                <w:rFonts w:hint="eastAsia" w:ascii="仿宋" w:hAnsi="仿宋" w:eastAsia="仿宋" w:cs="Arial"/>
                <w:color w:val="auto"/>
                <w:kern w:val="0"/>
                <w:sz w:val="22"/>
                <w:szCs w:val="22"/>
                <w:highlight w:val="none"/>
              </w:rPr>
            </w:pPr>
          </w:p>
        </w:tc>
        <w:tc>
          <w:tcPr>
            <w:tcW w:w="0" w:type="auto"/>
            <w:vMerge w:val="continue"/>
            <w:vAlign w:val="center"/>
          </w:tcPr>
          <w:p w14:paraId="6465912C">
            <w:pPr>
              <w:widowControl/>
              <w:shd w:val="clear"/>
              <w:jc w:val="center"/>
              <w:rPr>
                <w:rFonts w:hint="eastAsia" w:ascii="仿宋" w:hAnsi="仿宋" w:eastAsia="仿宋" w:cs="Arial"/>
                <w:color w:val="auto"/>
                <w:kern w:val="0"/>
                <w:sz w:val="22"/>
                <w:szCs w:val="22"/>
                <w:highlight w:val="none"/>
              </w:rPr>
            </w:pPr>
          </w:p>
        </w:tc>
        <w:tc>
          <w:tcPr>
            <w:tcW w:w="0" w:type="auto"/>
            <w:vMerge w:val="continue"/>
            <w:vAlign w:val="center"/>
          </w:tcPr>
          <w:p w14:paraId="5D0719DA">
            <w:pPr>
              <w:widowControl/>
              <w:shd w:val="clear"/>
              <w:jc w:val="center"/>
              <w:rPr>
                <w:rFonts w:hint="eastAsia" w:ascii="仿宋" w:hAnsi="仿宋" w:eastAsia="仿宋" w:cs="Arial"/>
                <w:color w:val="auto"/>
                <w:kern w:val="0"/>
                <w:sz w:val="22"/>
                <w:szCs w:val="22"/>
                <w:highlight w:val="none"/>
              </w:rPr>
            </w:pPr>
          </w:p>
        </w:tc>
        <w:tc>
          <w:tcPr>
            <w:tcW w:w="1174" w:type="dxa"/>
            <w:vAlign w:val="center"/>
          </w:tcPr>
          <w:p w14:paraId="701F288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集货商</w:t>
            </w:r>
          </w:p>
        </w:tc>
        <w:tc>
          <w:tcPr>
            <w:tcW w:w="3563" w:type="dxa"/>
            <w:vAlign w:val="center"/>
          </w:tcPr>
          <w:p w14:paraId="39ACCAF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2023年1月1日至招标公告发布之日内，具有电力试验、监测设备或组件类产品累计销售业绩不少于150万。</w:t>
            </w:r>
            <w:r>
              <w:rPr>
                <w:rFonts w:hint="eastAsia" w:ascii="仿宋" w:hAnsi="仿宋" w:eastAsia="仿宋" w:cs="宋体"/>
                <w:b/>
                <w:bCs/>
                <w:color w:val="auto"/>
                <w:kern w:val="0"/>
                <w:sz w:val="22"/>
                <w:szCs w:val="22"/>
                <w:highlight w:val="none"/>
              </w:rPr>
              <w:t>（时间以合同签订日期为准，须提供用户合同封面、金额页、合同签字盖章页复印件、证明合同内容的合同页；发票复印件；发票查验截图）。</w:t>
            </w:r>
          </w:p>
        </w:tc>
        <w:tc>
          <w:tcPr>
            <w:tcW w:w="1435" w:type="dxa"/>
            <w:vAlign w:val="center"/>
          </w:tcPr>
          <w:p w14:paraId="17C2EFB6">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lang w:val="en-US" w:eastAsia="zh-CN"/>
              </w:rPr>
              <w:t>1.5</w:t>
            </w:r>
          </w:p>
        </w:tc>
      </w:tr>
    </w:tbl>
    <w:p w14:paraId="2FA44872">
      <w:pPr>
        <w:shd w:val="clear"/>
        <w:ind w:firstLine="420"/>
        <w:rPr>
          <w:rFonts w:hint="eastAsia"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27D7ED3C">
      <w:pPr>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23D9B459">
      <w:pPr>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0E67E7D2">
      <w:pPr>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②.投标文件中提供的证明材料复印件应复印清晰、可辨认且不得遮盖、涂抹，否则视为无效。</w:t>
      </w:r>
    </w:p>
    <w:p w14:paraId="33ABD169">
      <w:pPr>
        <w:shd w:val="clea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③.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业绩认定时间以合同签订时间为准，若合同无签署日期，且无其他可以证明合同签署日期的文件，则该项业绩无效。若合同上存在多个签署日期的，以最后一方签署的时间为准。业绩认定金额或份数以合同和对应发票二者中的最少数额为准。</w:t>
      </w:r>
    </w:p>
    <w:p w14:paraId="0F49F8E5">
      <w:pPr>
        <w:pStyle w:val="2"/>
        <w:shd w:val="clea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2"/>
          <w:szCs w:val="22"/>
          <w:highlight w:val="none"/>
        </w:rPr>
        <w:t>④.业绩发票影印件后须附通过国家税务总局全国增值税发票查验平台（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b/>
          <w:bCs/>
          <w:color w:val="auto"/>
          <w:sz w:val="22"/>
          <w:szCs w:val="22"/>
          <w:highlight w:val="none"/>
        </w:rPr>
        <w:t>。</w:t>
      </w:r>
    </w:p>
    <w:p w14:paraId="35598BA0">
      <w:pPr>
        <w:pStyle w:val="9"/>
        <w:shd w:val="clear"/>
        <w:spacing w:beforeLines="0" w:afterLines="0"/>
        <w:rPr>
          <w:rFonts w:hint="eastAsia" w:ascii="黑体" w:hAnsi="黑体" w:eastAsia="黑体" w:cs="黑体"/>
          <w:b/>
          <w:color w:val="auto"/>
          <w:kern w:val="2"/>
          <w:sz w:val="24"/>
          <w:szCs w:val="24"/>
          <w:highlight w:val="none"/>
          <w:lang w:val="en-US"/>
        </w:rPr>
      </w:pPr>
    </w:p>
    <w:p w14:paraId="01850204">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2C6AF767">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45226ED3">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05274ABC">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397E0CB9">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06ED4576">
      <w:pPr>
        <w:pStyle w:val="9"/>
        <w:shd w:val="clear"/>
        <w:spacing w:line="400" w:lineRule="exact"/>
        <w:rPr>
          <w:rFonts w:hint="eastAsia" w:ascii="黑体" w:hAnsi="黑体" w:eastAsia="黑体" w:cs="黑体"/>
          <w:b/>
          <w:bCs/>
          <w:color w:val="auto"/>
          <w:kern w:val="2"/>
          <w:sz w:val="24"/>
          <w:szCs w:val="24"/>
          <w:highlight w:val="none"/>
          <w:lang w:val="en-US" w:eastAsia="zh-CN"/>
        </w:rPr>
      </w:pPr>
    </w:p>
    <w:p w14:paraId="416BCCCF">
      <w:pPr>
        <w:pStyle w:val="9"/>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分标二：电压装置组件采购项目</w:t>
      </w:r>
    </w:p>
    <w:p w14:paraId="4C015AA3">
      <w:pPr>
        <w:pStyle w:val="9"/>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分标编号：CY0626SWWP66FZ02</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492"/>
        <w:gridCol w:w="3454"/>
        <w:gridCol w:w="455"/>
        <w:gridCol w:w="555"/>
        <w:gridCol w:w="574"/>
        <w:gridCol w:w="474"/>
        <w:gridCol w:w="601"/>
        <w:gridCol w:w="3426"/>
        <w:gridCol w:w="2784"/>
        <w:gridCol w:w="758"/>
      </w:tblGrid>
      <w:tr w14:paraId="3903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0" w:type="auto"/>
            <w:vAlign w:val="center"/>
          </w:tcPr>
          <w:p w14:paraId="4EC79494">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599BDA4A">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物资名称</w:t>
            </w:r>
          </w:p>
        </w:tc>
        <w:tc>
          <w:tcPr>
            <w:tcW w:w="0" w:type="auto"/>
            <w:vAlign w:val="center"/>
          </w:tcPr>
          <w:p w14:paraId="4B123D19">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15BEB75C">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508CFEA4">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4C11B896">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交货日期</w:t>
            </w:r>
          </w:p>
        </w:tc>
        <w:tc>
          <w:tcPr>
            <w:tcW w:w="0" w:type="auto"/>
            <w:vAlign w:val="center"/>
          </w:tcPr>
          <w:p w14:paraId="5EE3389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4DFFF557">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0F7E4D1E">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6BAA93CD">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6F516372">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1B428D77">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608F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restart"/>
            <w:vAlign w:val="center"/>
          </w:tcPr>
          <w:p w14:paraId="4E31E283">
            <w:pPr>
              <w:widowControl/>
              <w:shd w:val="clear"/>
              <w:jc w:val="center"/>
              <w:rPr>
                <w:rFonts w:ascii="仿宋" w:hAnsi="仿宋" w:eastAsia="仿宋" w:cs="Arial"/>
                <w:color w:val="auto"/>
                <w:kern w:val="0"/>
                <w:sz w:val="22"/>
                <w:szCs w:val="22"/>
                <w:highlight w:val="none"/>
              </w:rPr>
            </w:pPr>
            <w:r>
              <w:rPr>
                <w:rFonts w:hint="eastAsia" w:ascii="仿宋" w:hAnsi="仿宋" w:eastAsia="仿宋" w:cs="宋体"/>
                <w:color w:val="auto"/>
                <w:kern w:val="0"/>
                <w:sz w:val="22"/>
                <w:szCs w:val="22"/>
                <w:highlight w:val="none"/>
              </w:rPr>
              <w:t>电压装置组件采购项目</w:t>
            </w:r>
          </w:p>
        </w:tc>
        <w:tc>
          <w:tcPr>
            <w:tcW w:w="0" w:type="auto"/>
            <w:vAlign w:val="center"/>
          </w:tcPr>
          <w:p w14:paraId="6ACBAB9B">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电容模块</w:t>
            </w:r>
          </w:p>
        </w:tc>
        <w:tc>
          <w:tcPr>
            <w:tcW w:w="0" w:type="auto"/>
            <w:vAlign w:val="center"/>
          </w:tcPr>
          <w:p w14:paraId="5B8D53BA">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存放电荷、稳定电压、滤波等作用</w:t>
            </w:r>
          </w:p>
        </w:tc>
        <w:tc>
          <w:tcPr>
            <w:tcW w:w="0" w:type="auto"/>
            <w:shd w:val="clear" w:color="000000" w:fill="FFFFFF"/>
            <w:vAlign w:val="center"/>
          </w:tcPr>
          <w:p w14:paraId="217B8608">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块</w:t>
            </w:r>
          </w:p>
        </w:tc>
        <w:tc>
          <w:tcPr>
            <w:tcW w:w="0" w:type="auto"/>
            <w:shd w:val="clear" w:color="000000" w:fill="FFFFFF"/>
            <w:vAlign w:val="center"/>
          </w:tcPr>
          <w:p w14:paraId="1AD19283">
            <w:pPr>
              <w:widowControl/>
              <w:shd w:val="clear"/>
              <w:jc w:val="center"/>
              <w:rPr>
                <w:rFonts w:ascii="仿宋" w:hAnsi="仿宋" w:eastAsia="仿宋" w:cs="Arial"/>
                <w:color w:val="auto"/>
                <w:kern w:val="0"/>
                <w:sz w:val="22"/>
                <w:szCs w:val="22"/>
                <w:highlight w:val="none"/>
              </w:rPr>
            </w:pPr>
            <w:r>
              <w:rPr>
                <w:rFonts w:ascii="仿宋" w:hAnsi="仿宋" w:eastAsia="仿宋"/>
                <w:color w:val="auto"/>
                <w:sz w:val="22"/>
                <w:szCs w:val="22"/>
                <w:highlight w:val="none"/>
              </w:rPr>
              <w:t>131</w:t>
            </w:r>
          </w:p>
        </w:tc>
        <w:tc>
          <w:tcPr>
            <w:tcW w:w="0" w:type="auto"/>
            <w:vMerge w:val="restart"/>
            <w:vAlign w:val="center"/>
          </w:tcPr>
          <w:p w14:paraId="74EE6881">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合同签订后15日内</w:t>
            </w:r>
          </w:p>
        </w:tc>
        <w:tc>
          <w:tcPr>
            <w:tcW w:w="0" w:type="auto"/>
            <w:vMerge w:val="restart"/>
            <w:vAlign w:val="center"/>
          </w:tcPr>
          <w:p w14:paraId="792C108D">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3年</w:t>
            </w:r>
          </w:p>
        </w:tc>
        <w:tc>
          <w:tcPr>
            <w:tcW w:w="0" w:type="auto"/>
            <w:vMerge w:val="restart"/>
            <w:vAlign w:val="center"/>
          </w:tcPr>
          <w:p w14:paraId="2A83DC72">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tc>
        <w:tc>
          <w:tcPr>
            <w:tcW w:w="0" w:type="auto"/>
            <w:vMerge w:val="restart"/>
            <w:vAlign w:val="center"/>
          </w:tcPr>
          <w:p w14:paraId="5D25AC71">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需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Merge w:val="restart"/>
            <w:vAlign w:val="center"/>
          </w:tcPr>
          <w:p w14:paraId="3A691A1D">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Arial"/>
                <w:color w:val="auto"/>
                <w:kern w:val="0"/>
                <w:sz w:val="22"/>
                <w:szCs w:val="22"/>
                <w:highlight w:val="none"/>
              </w:rPr>
              <w:t>2023年1月1日至招标公告发布之日内，具有电压监测仪配件累计销售业绩不少于20万。（时间以合同签订日期为准，须提供用户合同封面、金额页、合同签字盖章页复印件、证明合同内容的合同页；发票复印件；发票查验截图）。</w:t>
            </w:r>
          </w:p>
        </w:tc>
        <w:tc>
          <w:tcPr>
            <w:tcW w:w="0" w:type="auto"/>
            <w:vMerge w:val="restart"/>
            <w:vAlign w:val="center"/>
          </w:tcPr>
          <w:p w14:paraId="513C8464">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0.4</w:t>
            </w:r>
          </w:p>
        </w:tc>
      </w:tr>
      <w:tr w14:paraId="0747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2086CF57">
            <w:pPr>
              <w:widowControl/>
              <w:shd w:val="clear"/>
              <w:jc w:val="center"/>
              <w:rPr>
                <w:rFonts w:ascii="仿宋" w:hAnsi="仿宋" w:eastAsia="仿宋" w:cs="Arial"/>
                <w:color w:val="auto"/>
                <w:kern w:val="0"/>
                <w:sz w:val="22"/>
                <w:szCs w:val="22"/>
                <w:highlight w:val="none"/>
              </w:rPr>
            </w:pPr>
          </w:p>
        </w:tc>
        <w:tc>
          <w:tcPr>
            <w:tcW w:w="0" w:type="auto"/>
            <w:vAlign w:val="center"/>
          </w:tcPr>
          <w:p w14:paraId="6ECCF819">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显示模块</w:t>
            </w:r>
          </w:p>
        </w:tc>
        <w:tc>
          <w:tcPr>
            <w:tcW w:w="0" w:type="auto"/>
            <w:vAlign w:val="center"/>
          </w:tcPr>
          <w:p w14:paraId="0FCD9AF8">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分辨率：高清720</w:t>
            </w:r>
          </w:p>
          <w:p w14:paraId="4856B976">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屏幕色域：100%NTSC（典型值）</w:t>
            </w:r>
          </w:p>
        </w:tc>
        <w:tc>
          <w:tcPr>
            <w:tcW w:w="0" w:type="auto"/>
            <w:shd w:val="clear" w:color="000000" w:fill="FFFFFF"/>
            <w:vAlign w:val="center"/>
          </w:tcPr>
          <w:p w14:paraId="4215D0BD">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块</w:t>
            </w:r>
          </w:p>
        </w:tc>
        <w:tc>
          <w:tcPr>
            <w:tcW w:w="0" w:type="auto"/>
            <w:shd w:val="clear" w:color="000000" w:fill="FFFFFF"/>
            <w:vAlign w:val="center"/>
          </w:tcPr>
          <w:p w14:paraId="59F5B993">
            <w:pPr>
              <w:widowControl/>
              <w:shd w:val="clear"/>
              <w:jc w:val="center"/>
              <w:rPr>
                <w:rFonts w:ascii="仿宋" w:hAnsi="仿宋" w:eastAsia="仿宋" w:cs="Arial"/>
                <w:color w:val="auto"/>
                <w:kern w:val="0"/>
                <w:sz w:val="22"/>
                <w:szCs w:val="22"/>
                <w:highlight w:val="none"/>
              </w:rPr>
            </w:pPr>
            <w:r>
              <w:rPr>
                <w:rFonts w:ascii="仿宋" w:hAnsi="仿宋" w:eastAsia="仿宋"/>
                <w:color w:val="auto"/>
                <w:sz w:val="22"/>
                <w:szCs w:val="22"/>
                <w:highlight w:val="none"/>
              </w:rPr>
              <w:t>128</w:t>
            </w:r>
          </w:p>
        </w:tc>
        <w:tc>
          <w:tcPr>
            <w:tcW w:w="0" w:type="auto"/>
            <w:vMerge w:val="continue"/>
            <w:vAlign w:val="center"/>
          </w:tcPr>
          <w:p w14:paraId="42DD3137">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3AB5EBA3">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701DB231">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1BEA673A">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2D91B9D9">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5AB42847">
            <w:pPr>
              <w:widowControl/>
              <w:shd w:val="clear"/>
              <w:jc w:val="center"/>
              <w:rPr>
                <w:rFonts w:ascii="仿宋" w:hAnsi="仿宋" w:eastAsia="仿宋" w:cs="Arial"/>
                <w:color w:val="auto"/>
                <w:kern w:val="0"/>
                <w:sz w:val="22"/>
                <w:szCs w:val="22"/>
                <w:highlight w:val="none"/>
              </w:rPr>
            </w:pPr>
          </w:p>
        </w:tc>
      </w:tr>
      <w:tr w14:paraId="58CC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0" w:type="auto"/>
            <w:vMerge w:val="continue"/>
            <w:vAlign w:val="center"/>
          </w:tcPr>
          <w:p w14:paraId="33B54628">
            <w:pPr>
              <w:widowControl/>
              <w:shd w:val="clear"/>
              <w:jc w:val="center"/>
              <w:rPr>
                <w:rFonts w:ascii="仿宋" w:hAnsi="仿宋" w:eastAsia="仿宋" w:cs="Arial"/>
                <w:color w:val="auto"/>
                <w:kern w:val="0"/>
                <w:sz w:val="22"/>
                <w:szCs w:val="22"/>
                <w:highlight w:val="none"/>
              </w:rPr>
            </w:pPr>
          </w:p>
        </w:tc>
        <w:tc>
          <w:tcPr>
            <w:tcW w:w="0" w:type="auto"/>
            <w:vAlign w:val="center"/>
          </w:tcPr>
          <w:p w14:paraId="4C512AB9">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通讯模块</w:t>
            </w:r>
          </w:p>
        </w:tc>
        <w:tc>
          <w:tcPr>
            <w:tcW w:w="0" w:type="auto"/>
            <w:vAlign w:val="center"/>
          </w:tcPr>
          <w:p w14:paraId="60E0CBE7">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电压监测装置的无线通信部分应采用运行稳定可靠的工业级无线通信芯片，模块化设计，具备独立SIM卡仓位，数据能正常上传至供电电压自动采集系统</w:t>
            </w:r>
          </w:p>
        </w:tc>
        <w:tc>
          <w:tcPr>
            <w:tcW w:w="0" w:type="auto"/>
            <w:shd w:val="clear" w:color="000000" w:fill="FFFFFF"/>
            <w:vAlign w:val="center"/>
          </w:tcPr>
          <w:p w14:paraId="2AFB4ED0">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块</w:t>
            </w:r>
          </w:p>
        </w:tc>
        <w:tc>
          <w:tcPr>
            <w:tcW w:w="0" w:type="auto"/>
            <w:shd w:val="clear" w:color="000000" w:fill="FFFFFF"/>
            <w:vAlign w:val="center"/>
          </w:tcPr>
          <w:p w14:paraId="060B38A3">
            <w:pPr>
              <w:widowControl/>
              <w:shd w:val="clear"/>
              <w:jc w:val="center"/>
              <w:rPr>
                <w:rFonts w:ascii="仿宋" w:hAnsi="仿宋" w:eastAsia="仿宋" w:cs="Arial"/>
                <w:color w:val="auto"/>
                <w:kern w:val="0"/>
                <w:sz w:val="22"/>
                <w:szCs w:val="22"/>
                <w:highlight w:val="none"/>
              </w:rPr>
            </w:pPr>
            <w:r>
              <w:rPr>
                <w:rFonts w:ascii="仿宋" w:hAnsi="仿宋" w:eastAsia="仿宋"/>
                <w:color w:val="auto"/>
                <w:sz w:val="22"/>
                <w:szCs w:val="22"/>
                <w:highlight w:val="none"/>
              </w:rPr>
              <w:t>154</w:t>
            </w:r>
          </w:p>
        </w:tc>
        <w:tc>
          <w:tcPr>
            <w:tcW w:w="0" w:type="auto"/>
            <w:vMerge w:val="continue"/>
            <w:vAlign w:val="center"/>
          </w:tcPr>
          <w:p w14:paraId="77888C18">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4C736E7A">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03621E9B">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204191A1">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6AD7CE0C">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79790758">
            <w:pPr>
              <w:widowControl/>
              <w:shd w:val="clear"/>
              <w:jc w:val="center"/>
              <w:rPr>
                <w:rFonts w:ascii="仿宋" w:hAnsi="仿宋" w:eastAsia="仿宋" w:cs="Arial"/>
                <w:color w:val="auto"/>
                <w:kern w:val="0"/>
                <w:sz w:val="22"/>
                <w:szCs w:val="22"/>
                <w:highlight w:val="none"/>
              </w:rPr>
            </w:pPr>
          </w:p>
        </w:tc>
      </w:tr>
      <w:tr w14:paraId="22AD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48EE5CA9">
            <w:pPr>
              <w:widowControl/>
              <w:shd w:val="clear"/>
              <w:jc w:val="center"/>
              <w:rPr>
                <w:rFonts w:ascii="仿宋" w:hAnsi="仿宋" w:eastAsia="仿宋" w:cs="Arial"/>
                <w:color w:val="auto"/>
                <w:kern w:val="0"/>
                <w:sz w:val="22"/>
                <w:szCs w:val="22"/>
                <w:highlight w:val="none"/>
              </w:rPr>
            </w:pPr>
          </w:p>
        </w:tc>
        <w:tc>
          <w:tcPr>
            <w:tcW w:w="0" w:type="auto"/>
            <w:vAlign w:val="center"/>
          </w:tcPr>
          <w:p w14:paraId="7B65ADD6">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通讯天线</w:t>
            </w:r>
          </w:p>
        </w:tc>
        <w:tc>
          <w:tcPr>
            <w:tcW w:w="0" w:type="auto"/>
            <w:vAlign w:val="center"/>
          </w:tcPr>
          <w:p w14:paraId="1A0A3917">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产品增益：8dBi</w:t>
            </w:r>
          </w:p>
          <w:p w14:paraId="153CEB9E">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频率范围：698-960/1710-6000MHz</w:t>
            </w:r>
          </w:p>
          <w:p w14:paraId="5D27D215">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驻波比：≤2</w:t>
            </w:r>
          </w:p>
          <w:p w14:paraId="5BB3469F">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接头型号：SMA</w:t>
            </w:r>
          </w:p>
          <w:p w14:paraId="07A9172F">
            <w:pPr>
              <w:shd w:val="clear"/>
              <w:jc w:val="left"/>
              <w:rPr>
                <w:rFonts w:ascii="仿宋" w:hAnsi="仿宋" w:eastAsia="仿宋"/>
                <w:color w:val="auto"/>
                <w:sz w:val="22"/>
                <w:szCs w:val="22"/>
                <w:highlight w:val="none"/>
              </w:rPr>
            </w:pPr>
            <w:r>
              <w:rPr>
                <w:rFonts w:hint="eastAsia" w:ascii="仿宋" w:hAnsi="仿宋" w:eastAsia="仿宋"/>
                <w:color w:val="auto"/>
                <w:sz w:val="22"/>
                <w:szCs w:val="22"/>
                <w:highlight w:val="none"/>
              </w:rPr>
              <w:t>工作阻抗 : 50Ω</w:t>
            </w:r>
          </w:p>
          <w:p w14:paraId="06CAE0E8">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极化方式：垂直极化天线材料：锌合金天线尺寸：53*297mm</w:t>
            </w:r>
          </w:p>
        </w:tc>
        <w:tc>
          <w:tcPr>
            <w:tcW w:w="0" w:type="auto"/>
            <w:shd w:val="clear" w:color="000000" w:fill="FFFFFF"/>
            <w:vAlign w:val="center"/>
          </w:tcPr>
          <w:p w14:paraId="3022E8FE">
            <w:pPr>
              <w:widowControl/>
              <w:shd w:val="clear"/>
              <w:jc w:val="center"/>
              <w:rPr>
                <w:rFonts w:ascii="仿宋" w:hAnsi="仿宋" w:eastAsia="仿宋" w:cs="Arial"/>
                <w:color w:val="auto"/>
                <w:kern w:val="0"/>
                <w:sz w:val="22"/>
                <w:szCs w:val="22"/>
                <w:highlight w:val="none"/>
              </w:rPr>
            </w:pPr>
            <w:r>
              <w:rPr>
                <w:rFonts w:hint="eastAsia" w:ascii="仿宋" w:hAnsi="仿宋" w:eastAsia="仿宋"/>
                <w:color w:val="auto"/>
                <w:sz w:val="22"/>
                <w:szCs w:val="22"/>
                <w:highlight w:val="none"/>
              </w:rPr>
              <w:t>个</w:t>
            </w:r>
          </w:p>
        </w:tc>
        <w:tc>
          <w:tcPr>
            <w:tcW w:w="0" w:type="auto"/>
            <w:shd w:val="clear" w:color="000000" w:fill="FFFFFF"/>
            <w:vAlign w:val="center"/>
          </w:tcPr>
          <w:p w14:paraId="46512167">
            <w:pPr>
              <w:widowControl/>
              <w:shd w:val="clear"/>
              <w:jc w:val="center"/>
              <w:rPr>
                <w:rFonts w:ascii="仿宋" w:hAnsi="仿宋" w:eastAsia="仿宋" w:cs="Arial"/>
                <w:color w:val="auto"/>
                <w:kern w:val="0"/>
                <w:sz w:val="22"/>
                <w:szCs w:val="22"/>
                <w:highlight w:val="none"/>
              </w:rPr>
            </w:pPr>
            <w:r>
              <w:rPr>
                <w:rFonts w:ascii="仿宋" w:hAnsi="仿宋" w:eastAsia="仿宋"/>
                <w:color w:val="auto"/>
                <w:sz w:val="22"/>
                <w:szCs w:val="22"/>
                <w:highlight w:val="none"/>
              </w:rPr>
              <w:t>166</w:t>
            </w:r>
          </w:p>
        </w:tc>
        <w:tc>
          <w:tcPr>
            <w:tcW w:w="0" w:type="auto"/>
            <w:vMerge w:val="continue"/>
            <w:vAlign w:val="center"/>
          </w:tcPr>
          <w:p w14:paraId="317B510C">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62E11106">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6F5700F2">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620C068C">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3FAD37D0">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2E986695">
            <w:pPr>
              <w:widowControl/>
              <w:shd w:val="clear"/>
              <w:jc w:val="center"/>
              <w:rPr>
                <w:rFonts w:ascii="仿宋" w:hAnsi="仿宋" w:eastAsia="仿宋" w:cs="Arial"/>
                <w:color w:val="auto"/>
                <w:kern w:val="0"/>
                <w:sz w:val="22"/>
                <w:szCs w:val="22"/>
                <w:highlight w:val="none"/>
              </w:rPr>
            </w:pPr>
          </w:p>
        </w:tc>
      </w:tr>
    </w:tbl>
    <w:p w14:paraId="72F65DB7">
      <w:pPr>
        <w:shd w:val="clear"/>
        <w:ind w:firstLine="420"/>
        <w:rPr>
          <w:rFonts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75ADAD92">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4BFEB3B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54F23FFA">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31A96328">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5A531178">
      <w:pPr>
        <w:shd w:val="clear"/>
        <w:rPr>
          <w:rFonts w:ascii="仿宋" w:hAnsi="仿宋" w:eastAsia="仿宋"/>
          <w:color w:val="auto"/>
          <w:sz w:val="22"/>
          <w:szCs w:val="22"/>
          <w:highlight w:val="none"/>
        </w:rPr>
        <w:sectPr>
          <w:footerReference r:id="rId4" w:type="default"/>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270CD7A0">
      <w:pPr>
        <w:pStyle w:val="9"/>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分标三：影像设备组件采购项目</w:t>
      </w:r>
    </w:p>
    <w:p w14:paraId="7A2BE11F">
      <w:pPr>
        <w:pStyle w:val="9"/>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分标编号：CY0626SWWP66FZ03</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
        <w:gridCol w:w="655"/>
        <w:gridCol w:w="4480"/>
        <w:gridCol w:w="492"/>
        <w:gridCol w:w="574"/>
        <w:gridCol w:w="845"/>
        <w:gridCol w:w="546"/>
        <w:gridCol w:w="927"/>
        <w:gridCol w:w="986"/>
        <w:gridCol w:w="2449"/>
        <w:gridCol w:w="1293"/>
      </w:tblGrid>
      <w:tr w14:paraId="7938D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0" w:type="auto"/>
            <w:vAlign w:val="center"/>
          </w:tcPr>
          <w:p w14:paraId="75C25236">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项目名称</w:t>
            </w:r>
          </w:p>
        </w:tc>
        <w:tc>
          <w:tcPr>
            <w:tcW w:w="0" w:type="auto"/>
            <w:vAlign w:val="center"/>
          </w:tcPr>
          <w:p w14:paraId="50050D1A">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物资名称</w:t>
            </w:r>
          </w:p>
        </w:tc>
        <w:tc>
          <w:tcPr>
            <w:tcW w:w="0" w:type="auto"/>
            <w:vAlign w:val="center"/>
          </w:tcPr>
          <w:p w14:paraId="1737401D">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主要技术要求</w:t>
            </w:r>
          </w:p>
        </w:tc>
        <w:tc>
          <w:tcPr>
            <w:tcW w:w="0" w:type="auto"/>
            <w:vAlign w:val="center"/>
          </w:tcPr>
          <w:p w14:paraId="4086FC88">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单位</w:t>
            </w:r>
          </w:p>
        </w:tc>
        <w:tc>
          <w:tcPr>
            <w:tcW w:w="0" w:type="auto"/>
            <w:vAlign w:val="center"/>
          </w:tcPr>
          <w:p w14:paraId="20A8A99D">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数量</w:t>
            </w:r>
          </w:p>
        </w:tc>
        <w:tc>
          <w:tcPr>
            <w:tcW w:w="0" w:type="auto"/>
            <w:vAlign w:val="center"/>
          </w:tcPr>
          <w:p w14:paraId="4AC3F4AF">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交货日期</w:t>
            </w:r>
          </w:p>
        </w:tc>
        <w:tc>
          <w:tcPr>
            <w:tcW w:w="0" w:type="auto"/>
            <w:vAlign w:val="center"/>
          </w:tcPr>
          <w:p w14:paraId="109409A6">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质保期</w:t>
            </w:r>
          </w:p>
        </w:tc>
        <w:tc>
          <w:tcPr>
            <w:tcW w:w="0" w:type="auto"/>
            <w:vAlign w:val="center"/>
          </w:tcPr>
          <w:p w14:paraId="629CA66E">
            <w:pPr>
              <w:widowControl/>
              <w:shd w:val="clear"/>
              <w:jc w:val="center"/>
              <w:rPr>
                <w:rFonts w:ascii="仿宋" w:hAnsi="仿宋" w:eastAsia="仿宋" w:cs="Arial"/>
                <w:b/>
                <w:bCs/>
                <w:color w:val="auto"/>
                <w:kern w:val="0"/>
                <w:sz w:val="22"/>
                <w:szCs w:val="22"/>
                <w:highlight w:val="none"/>
              </w:rPr>
            </w:pPr>
            <w:r>
              <w:rPr>
                <w:rFonts w:hint="eastAsia" w:ascii="仿宋" w:hAnsi="仿宋" w:eastAsia="仿宋" w:cs="Arial"/>
                <w:b/>
                <w:bCs/>
                <w:color w:val="auto"/>
                <w:kern w:val="0"/>
                <w:sz w:val="22"/>
                <w:szCs w:val="22"/>
                <w:highlight w:val="none"/>
              </w:rPr>
              <w:t>交货地点</w:t>
            </w:r>
          </w:p>
        </w:tc>
        <w:tc>
          <w:tcPr>
            <w:tcW w:w="0" w:type="auto"/>
            <w:vAlign w:val="center"/>
          </w:tcPr>
          <w:p w14:paraId="3595C59D">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2449" w:type="dxa"/>
            <w:vAlign w:val="center"/>
          </w:tcPr>
          <w:p w14:paraId="104A5AD0">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1293" w:type="dxa"/>
            <w:vAlign w:val="center"/>
          </w:tcPr>
          <w:p w14:paraId="5FCFEFC5">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7A8EFC4B">
            <w:pPr>
              <w:widowControl/>
              <w:shd w:val="clear"/>
              <w:jc w:val="center"/>
              <w:rPr>
                <w:rFonts w:hint="eastAsia" w:ascii="仿宋" w:hAnsi="仿宋" w:eastAsia="仿宋" w:cs="Arial"/>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52B9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restart"/>
            <w:vAlign w:val="center"/>
          </w:tcPr>
          <w:p w14:paraId="47591AB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影像设备组件采购项目</w:t>
            </w:r>
          </w:p>
        </w:tc>
        <w:tc>
          <w:tcPr>
            <w:tcW w:w="0" w:type="auto"/>
            <w:vAlign w:val="center"/>
          </w:tcPr>
          <w:p w14:paraId="6363291B">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可见光镜头</w:t>
            </w:r>
          </w:p>
        </w:tc>
        <w:tc>
          <w:tcPr>
            <w:tcW w:w="0" w:type="auto"/>
            <w:vAlign w:val="center"/>
          </w:tcPr>
          <w:p w14:paraId="20712A63">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模块化设计，可插拔式应用</w:t>
            </w:r>
            <w:r>
              <w:rPr>
                <w:rFonts w:hint="eastAsia" w:ascii="仿宋" w:hAnsi="仿宋" w:eastAsia="仿宋" w:cs="Arial"/>
                <w:color w:val="auto"/>
                <w:kern w:val="0"/>
                <w:sz w:val="22"/>
                <w:szCs w:val="22"/>
                <w:highlight w:val="none"/>
              </w:rPr>
              <w:br w:type="textWrapping"/>
            </w:r>
            <w:r>
              <w:rPr>
                <w:rFonts w:hint="eastAsia" w:ascii="仿宋" w:hAnsi="仿宋" w:eastAsia="仿宋" w:cs="Arial"/>
                <w:color w:val="auto"/>
                <w:kern w:val="0"/>
                <w:sz w:val="22"/>
                <w:szCs w:val="22"/>
                <w:highlight w:val="none"/>
              </w:rPr>
              <w:t>800万像素 逐行扫描1/1.8”CMOS，48倍光学变倍，支持自定义变倍；最低照度：彩色0.005lux@F1.5最大分辨率可达3840 × 2160</w:t>
            </w:r>
          </w:p>
        </w:tc>
        <w:tc>
          <w:tcPr>
            <w:tcW w:w="0" w:type="auto"/>
            <w:shd w:val="clear" w:color="000000" w:fill="FFFFFF"/>
            <w:vAlign w:val="center"/>
          </w:tcPr>
          <w:p w14:paraId="2CE292A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个</w:t>
            </w:r>
          </w:p>
        </w:tc>
        <w:tc>
          <w:tcPr>
            <w:tcW w:w="0" w:type="auto"/>
            <w:shd w:val="clear" w:color="000000" w:fill="FFFFFF"/>
            <w:vAlign w:val="center"/>
          </w:tcPr>
          <w:p w14:paraId="485172A9">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restart"/>
            <w:vAlign w:val="center"/>
          </w:tcPr>
          <w:p w14:paraId="7637D684">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合同签订后15日内</w:t>
            </w:r>
          </w:p>
        </w:tc>
        <w:tc>
          <w:tcPr>
            <w:tcW w:w="0" w:type="auto"/>
            <w:vMerge w:val="restart"/>
            <w:vAlign w:val="center"/>
          </w:tcPr>
          <w:p w14:paraId="0A086B93">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1年</w:t>
            </w:r>
          </w:p>
          <w:p w14:paraId="313A8253">
            <w:pPr>
              <w:shd w:val="clear"/>
              <w:jc w:val="center"/>
              <w:rPr>
                <w:rFonts w:ascii="仿宋" w:hAnsi="仿宋" w:eastAsia="仿宋" w:cs="Arial"/>
                <w:color w:val="auto"/>
                <w:kern w:val="0"/>
                <w:sz w:val="22"/>
                <w:szCs w:val="22"/>
                <w:highlight w:val="none"/>
              </w:rPr>
            </w:pPr>
          </w:p>
        </w:tc>
        <w:tc>
          <w:tcPr>
            <w:tcW w:w="0" w:type="auto"/>
            <w:vMerge w:val="restart"/>
            <w:vAlign w:val="center"/>
          </w:tcPr>
          <w:p w14:paraId="501681CD">
            <w:pPr>
              <w:widowControl/>
              <w:shd w:val="clear"/>
              <w:jc w:val="center"/>
              <w:rPr>
                <w:rFonts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买方指定仓库地面交货</w:t>
            </w:r>
          </w:p>
          <w:p w14:paraId="7E4E1603">
            <w:pPr>
              <w:shd w:val="clear"/>
              <w:jc w:val="center"/>
              <w:rPr>
                <w:rFonts w:ascii="仿宋" w:hAnsi="仿宋" w:eastAsia="仿宋" w:cs="Arial"/>
                <w:color w:val="auto"/>
                <w:kern w:val="0"/>
                <w:sz w:val="22"/>
                <w:szCs w:val="22"/>
                <w:highlight w:val="none"/>
              </w:rPr>
            </w:pPr>
          </w:p>
        </w:tc>
        <w:tc>
          <w:tcPr>
            <w:tcW w:w="0" w:type="auto"/>
            <w:vMerge w:val="restart"/>
            <w:vAlign w:val="center"/>
          </w:tcPr>
          <w:p w14:paraId="2E9E55AC">
            <w:pPr>
              <w:shd w:val="clear"/>
              <w:jc w:val="center"/>
              <w:rPr>
                <w:rFonts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集货商</w:t>
            </w:r>
          </w:p>
        </w:tc>
        <w:tc>
          <w:tcPr>
            <w:tcW w:w="2449" w:type="dxa"/>
            <w:vMerge w:val="restart"/>
            <w:vAlign w:val="center"/>
          </w:tcPr>
          <w:p w14:paraId="18737B1A">
            <w:pPr>
              <w:shd w:val="clear"/>
              <w:jc w:val="center"/>
              <w:rPr>
                <w:rFonts w:ascii="仿宋" w:hAnsi="仿宋" w:eastAsia="仿宋" w:cs="Arial"/>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ascii="仿宋" w:hAnsi="仿宋" w:eastAsia="仿宋" w:cs="宋体"/>
                <w:color w:val="auto"/>
                <w:kern w:val="0"/>
                <w:sz w:val="22"/>
                <w:szCs w:val="22"/>
                <w:highlight w:val="none"/>
              </w:rPr>
              <w:t>202</w:t>
            </w:r>
            <w:r>
              <w:rPr>
                <w:rFonts w:hint="eastAsia" w:ascii="仿宋" w:hAnsi="仿宋" w:eastAsia="仿宋" w:cs="宋体"/>
                <w:color w:val="auto"/>
                <w:kern w:val="0"/>
                <w:sz w:val="22"/>
                <w:szCs w:val="22"/>
                <w:highlight w:val="none"/>
              </w:rPr>
              <w:t>3</w:t>
            </w:r>
            <w:r>
              <w:rPr>
                <w:rFonts w:ascii="仿宋" w:hAnsi="仿宋" w:eastAsia="仿宋" w:cs="宋体"/>
                <w:color w:val="auto"/>
                <w:kern w:val="0"/>
                <w:sz w:val="22"/>
                <w:szCs w:val="22"/>
                <w:highlight w:val="none"/>
              </w:rPr>
              <w:t>年1月1日至</w:t>
            </w:r>
            <w:r>
              <w:rPr>
                <w:rFonts w:hint="eastAsia" w:ascii="仿宋" w:hAnsi="仿宋" w:eastAsia="仿宋" w:cs="宋体"/>
                <w:color w:val="auto"/>
                <w:kern w:val="0"/>
                <w:sz w:val="22"/>
                <w:szCs w:val="22"/>
                <w:highlight w:val="none"/>
              </w:rPr>
              <w:t>招标</w:t>
            </w:r>
            <w:r>
              <w:rPr>
                <w:rFonts w:ascii="仿宋" w:hAnsi="仿宋" w:eastAsia="仿宋" w:cs="宋体"/>
                <w:color w:val="auto"/>
                <w:kern w:val="0"/>
                <w:sz w:val="22"/>
                <w:szCs w:val="22"/>
                <w:highlight w:val="none"/>
              </w:rPr>
              <w:t>公告发布之日内</w:t>
            </w:r>
            <w:r>
              <w:rPr>
                <w:rFonts w:hint="eastAsia" w:ascii="仿宋" w:hAnsi="仿宋" w:eastAsia="仿宋" w:cs="宋体"/>
                <w:color w:val="auto"/>
                <w:kern w:val="0"/>
                <w:sz w:val="22"/>
                <w:szCs w:val="22"/>
                <w:highlight w:val="none"/>
              </w:rPr>
              <w:t>，具有</w:t>
            </w:r>
            <w:r>
              <w:rPr>
                <w:rFonts w:ascii="仿宋" w:hAnsi="仿宋" w:eastAsia="仿宋" w:cs="宋体"/>
                <w:color w:val="auto"/>
                <w:kern w:val="0"/>
                <w:sz w:val="22"/>
                <w:szCs w:val="22"/>
                <w:highlight w:val="none"/>
              </w:rPr>
              <w:t>变电站图像视频监视系统或辅助监控平台累计销售业绩不少于</w:t>
            </w:r>
            <w:r>
              <w:rPr>
                <w:rFonts w:hint="eastAsia" w:ascii="仿宋" w:hAnsi="仿宋" w:eastAsia="仿宋" w:cs="宋体"/>
                <w:color w:val="auto"/>
                <w:kern w:val="0"/>
                <w:sz w:val="22"/>
                <w:szCs w:val="22"/>
                <w:highlight w:val="none"/>
              </w:rPr>
              <w:t>10</w:t>
            </w:r>
            <w:r>
              <w:rPr>
                <w:rFonts w:ascii="仿宋" w:hAnsi="仿宋" w:eastAsia="仿宋" w:cs="宋体"/>
                <w:color w:val="auto"/>
                <w:kern w:val="0"/>
                <w:sz w:val="22"/>
                <w:szCs w:val="22"/>
                <w:highlight w:val="none"/>
              </w:rPr>
              <w:t>0万。（时间以合同签订日期为准，须提供用户合同封面、金额页、合同签字盖章页复印件、证明合同内容的合同页；发票复印件；发票查验截图）。</w:t>
            </w:r>
          </w:p>
        </w:tc>
        <w:tc>
          <w:tcPr>
            <w:tcW w:w="1293" w:type="dxa"/>
            <w:vMerge w:val="restart"/>
            <w:shd w:val="clear" w:color="auto" w:fill="auto"/>
            <w:vAlign w:val="center"/>
          </w:tcPr>
          <w:p w14:paraId="5803A3EB">
            <w:pPr>
              <w:shd w:val="clear"/>
              <w:jc w:val="center"/>
              <w:rPr>
                <w:rFonts w:hint="eastAsia" w:ascii="方正仿宋_GBK" w:hAnsi="方正仿宋_GBK" w:eastAsia="方正仿宋_GBK" w:cs="方正仿宋_GBK"/>
                <w:b/>
                <w:bCs/>
                <w:i w:val="0"/>
                <w:iCs w:val="0"/>
                <w:color w:val="auto"/>
                <w:kern w:val="2"/>
                <w:sz w:val="36"/>
                <w:szCs w:val="36"/>
                <w:highlight w:val="none"/>
                <w:u w:val="none"/>
                <w:lang w:val="en-US" w:eastAsia="zh-CN" w:bidi="ar-SA"/>
              </w:rPr>
            </w:pPr>
            <w:r>
              <w:rPr>
                <w:rFonts w:hint="eastAsia" w:ascii="仿宋" w:hAnsi="仿宋" w:eastAsia="仿宋" w:cs="宋体"/>
                <w:color w:val="auto"/>
                <w:kern w:val="0"/>
                <w:sz w:val="22"/>
                <w:szCs w:val="22"/>
                <w:highlight w:val="none"/>
                <w:lang w:val="en-US" w:eastAsia="zh-CN"/>
              </w:rPr>
              <w:t>1.4</w:t>
            </w:r>
          </w:p>
        </w:tc>
      </w:tr>
      <w:tr w14:paraId="196DB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24BD1639">
            <w:pPr>
              <w:widowControl/>
              <w:shd w:val="clear"/>
              <w:jc w:val="center"/>
              <w:rPr>
                <w:rFonts w:hint="eastAsia" w:ascii="仿宋" w:hAnsi="仿宋" w:eastAsia="仿宋" w:cs="Arial"/>
                <w:color w:val="auto"/>
                <w:kern w:val="0"/>
                <w:sz w:val="22"/>
                <w:szCs w:val="22"/>
                <w:highlight w:val="none"/>
              </w:rPr>
            </w:pPr>
          </w:p>
        </w:tc>
        <w:tc>
          <w:tcPr>
            <w:tcW w:w="0" w:type="auto"/>
            <w:vAlign w:val="center"/>
          </w:tcPr>
          <w:p w14:paraId="041A4E25">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高精密云台</w:t>
            </w:r>
          </w:p>
        </w:tc>
        <w:tc>
          <w:tcPr>
            <w:tcW w:w="0" w:type="auto"/>
            <w:vAlign w:val="center"/>
          </w:tcPr>
          <w:p w14:paraId="4EA31606">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支持自纠偏功能，采用闭环高精度电机控制技术，云台偏移后可自动归位，确保画面不偏移</w:t>
            </w:r>
          </w:p>
        </w:tc>
        <w:tc>
          <w:tcPr>
            <w:tcW w:w="0" w:type="auto"/>
            <w:shd w:val="clear" w:color="000000" w:fill="FFFFFF"/>
            <w:vAlign w:val="center"/>
          </w:tcPr>
          <w:p w14:paraId="75DFB6E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套</w:t>
            </w:r>
          </w:p>
        </w:tc>
        <w:tc>
          <w:tcPr>
            <w:tcW w:w="0" w:type="auto"/>
            <w:shd w:val="clear" w:color="000000" w:fill="FFFFFF"/>
            <w:vAlign w:val="center"/>
          </w:tcPr>
          <w:p w14:paraId="6E96FF5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continue"/>
            <w:vAlign w:val="center"/>
          </w:tcPr>
          <w:p w14:paraId="5F0AA15A">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49D7AF63">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5686A482">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77092B1A">
            <w:pPr>
              <w:widowControl/>
              <w:shd w:val="clear"/>
              <w:jc w:val="center"/>
              <w:rPr>
                <w:rFonts w:ascii="仿宋" w:hAnsi="仿宋" w:eastAsia="仿宋" w:cs="Arial"/>
                <w:color w:val="auto"/>
                <w:kern w:val="0"/>
                <w:sz w:val="22"/>
                <w:szCs w:val="22"/>
                <w:highlight w:val="none"/>
              </w:rPr>
            </w:pPr>
          </w:p>
        </w:tc>
        <w:tc>
          <w:tcPr>
            <w:tcW w:w="2449" w:type="dxa"/>
            <w:vMerge w:val="continue"/>
            <w:vAlign w:val="center"/>
          </w:tcPr>
          <w:p w14:paraId="51D18F1F">
            <w:pPr>
              <w:widowControl/>
              <w:shd w:val="clear"/>
              <w:jc w:val="center"/>
              <w:rPr>
                <w:rFonts w:ascii="仿宋" w:hAnsi="仿宋" w:eastAsia="仿宋" w:cs="Arial"/>
                <w:color w:val="auto"/>
                <w:kern w:val="0"/>
                <w:sz w:val="22"/>
                <w:szCs w:val="22"/>
                <w:highlight w:val="none"/>
              </w:rPr>
            </w:pPr>
          </w:p>
        </w:tc>
        <w:tc>
          <w:tcPr>
            <w:tcW w:w="1293" w:type="dxa"/>
            <w:vMerge w:val="continue"/>
            <w:vAlign w:val="center"/>
          </w:tcPr>
          <w:p w14:paraId="42BA1CAD">
            <w:pPr>
              <w:widowControl/>
              <w:shd w:val="clear"/>
              <w:jc w:val="center"/>
              <w:rPr>
                <w:rFonts w:ascii="仿宋" w:hAnsi="仿宋" w:eastAsia="仿宋" w:cs="Arial"/>
                <w:color w:val="auto"/>
                <w:kern w:val="0"/>
                <w:sz w:val="22"/>
                <w:szCs w:val="22"/>
                <w:highlight w:val="none"/>
              </w:rPr>
            </w:pPr>
          </w:p>
        </w:tc>
      </w:tr>
      <w:tr w14:paraId="3B01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rPr>
        <w:tc>
          <w:tcPr>
            <w:tcW w:w="0" w:type="auto"/>
            <w:vMerge w:val="continue"/>
            <w:vAlign w:val="center"/>
          </w:tcPr>
          <w:p w14:paraId="71643D4F">
            <w:pPr>
              <w:widowControl/>
              <w:shd w:val="clear"/>
              <w:jc w:val="center"/>
              <w:rPr>
                <w:rFonts w:hint="eastAsia" w:ascii="仿宋" w:hAnsi="仿宋" w:eastAsia="仿宋" w:cs="Arial"/>
                <w:color w:val="auto"/>
                <w:kern w:val="0"/>
                <w:sz w:val="22"/>
                <w:szCs w:val="22"/>
                <w:highlight w:val="none"/>
              </w:rPr>
            </w:pPr>
          </w:p>
        </w:tc>
        <w:tc>
          <w:tcPr>
            <w:tcW w:w="0" w:type="auto"/>
            <w:vAlign w:val="center"/>
          </w:tcPr>
          <w:p w14:paraId="52FB683E">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光源传感器</w:t>
            </w:r>
          </w:p>
        </w:tc>
        <w:tc>
          <w:tcPr>
            <w:tcW w:w="0" w:type="auto"/>
            <w:vAlign w:val="center"/>
          </w:tcPr>
          <w:p w14:paraId="077EE33D">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产品类型：光电式光照度传感器，内置符合人眼视觉函数 V (λ) 修正滤光片，避免红外 / 紫外干扰，精准模拟人眼感光特性；</w:t>
            </w:r>
          </w:p>
        </w:tc>
        <w:tc>
          <w:tcPr>
            <w:tcW w:w="0" w:type="auto"/>
            <w:shd w:val="clear" w:color="000000" w:fill="FFFFFF"/>
            <w:vAlign w:val="center"/>
          </w:tcPr>
          <w:p w14:paraId="55DBB4C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个</w:t>
            </w:r>
          </w:p>
        </w:tc>
        <w:tc>
          <w:tcPr>
            <w:tcW w:w="0" w:type="auto"/>
            <w:shd w:val="clear" w:color="000000" w:fill="FFFFFF"/>
            <w:vAlign w:val="center"/>
          </w:tcPr>
          <w:p w14:paraId="67F830DE">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continue"/>
            <w:vAlign w:val="center"/>
          </w:tcPr>
          <w:p w14:paraId="57435FB7">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62B1208C">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412E8AFF">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12D9806B">
            <w:pPr>
              <w:widowControl/>
              <w:shd w:val="clear"/>
              <w:jc w:val="center"/>
              <w:rPr>
                <w:rFonts w:ascii="仿宋" w:hAnsi="仿宋" w:eastAsia="仿宋" w:cs="Arial"/>
                <w:color w:val="auto"/>
                <w:kern w:val="0"/>
                <w:sz w:val="22"/>
                <w:szCs w:val="22"/>
                <w:highlight w:val="none"/>
              </w:rPr>
            </w:pPr>
          </w:p>
        </w:tc>
        <w:tc>
          <w:tcPr>
            <w:tcW w:w="2449" w:type="dxa"/>
            <w:vMerge w:val="continue"/>
            <w:vAlign w:val="center"/>
          </w:tcPr>
          <w:p w14:paraId="07BD515D">
            <w:pPr>
              <w:widowControl/>
              <w:shd w:val="clear"/>
              <w:jc w:val="center"/>
              <w:rPr>
                <w:rFonts w:ascii="仿宋" w:hAnsi="仿宋" w:eastAsia="仿宋" w:cs="Arial"/>
                <w:color w:val="auto"/>
                <w:kern w:val="0"/>
                <w:sz w:val="22"/>
                <w:szCs w:val="22"/>
                <w:highlight w:val="none"/>
              </w:rPr>
            </w:pPr>
          </w:p>
        </w:tc>
        <w:tc>
          <w:tcPr>
            <w:tcW w:w="1293" w:type="dxa"/>
            <w:vMerge w:val="continue"/>
            <w:vAlign w:val="center"/>
          </w:tcPr>
          <w:p w14:paraId="256154B1">
            <w:pPr>
              <w:widowControl/>
              <w:shd w:val="clear"/>
              <w:jc w:val="center"/>
              <w:rPr>
                <w:rFonts w:ascii="仿宋" w:hAnsi="仿宋" w:eastAsia="仿宋" w:cs="Arial"/>
                <w:color w:val="auto"/>
                <w:kern w:val="0"/>
                <w:sz w:val="22"/>
                <w:szCs w:val="22"/>
                <w:highlight w:val="none"/>
              </w:rPr>
            </w:pPr>
          </w:p>
        </w:tc>
      </w:tr>
      <w:tr w14:paraId="3789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0B05F453">
            <w:pPr>
              <w:widowControl/>
              <w:shd w:val="clear"/>
              <w:jc w:val="center"/>
              <w:rPr>
                <w:rFonts w:hint="eastAsia" w:ascii="仿宋" w:hAnsi="仿宋" w:eastAsia="仿宋" w:cs="Arial"/>
                <w:color w:val="auto"/>
                <w:kern w:val="0"/>
                <w:sz w:val="22"/>
                <w:szCs w:val="22"/>
                <w:highlight w:val="none"/>
              </w:rPr>
            </w:pPr>
          </w:p>
        </w:tc>
        <w:tc>
          <w:tcPr>
            <w:tcW w:w="0" w:type="auto"/>
            <w:vAlign w:val="center"/>
          </w:tcPr>
          <w:p w14:paraId="5F35F10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黑光补光灯</w:t>
            </w:r>
          </w:p>
        </w:tc>
        <w:tc>
          <w:tcPr>
            <w:tcW w:w="0" w:type="auto"/>
            <w:vAlign w:val="center"/>
          </w:tcPr>
          <w:p w14:paraId="7F00BA02">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产品类型：黑光专用红外 + 暖白光双光混合补光灯，夜间低照度自动切换白光实现全彩成像，无光污染刺眼、不扰民</w:t>
            </w:r>
          </w:p>
        </w:tc>
        <w:tc>
          <w:tcPr>
            <w:tcW w:w="0" w:type="auto"/>
            <w:shd w:val="clear" w:color="000000" w:fill="FFFFFF"/>
            <w:vAlign w:val="center"/>
          </w:tcPr>
          <w:p w14:paraId="1EC0F783">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套</w:t>
            </w:r>
          </w:p>
        </w:tc>
        <w:tc>
          <w:tcPr>
            <w:tcW w:w="0" w:type="auto"/>
            <w:shd w:val="clear" w:color="000000" w:fill="FFFFFF"/>
            <w:vAlign w:val="center"/>
          </w:tcPr>
          <w:p w14:paraId="64D2513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continue"/>
            <w:vAlign w:val="center"/>
          </w:tcPr>
          <w:p w14:paraId="1B68F7A7">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09D8888E">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308616D8">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14A26421">
            <w:pPr>
              <w:widowControl/>
              <w:shd w:val="clear"/>
              <w:jc w:val="center"/>
              <w:rPr>
                <w:rFonts w:ascii="仿宋" w:hAnsi="仿宋" w:eastAsia="仿宋" w:cs="Arial"/>
                <w:color w:val="auto"/>
                <w:kern w:val="0"/>
                <w:sz w:val="22"/>
                <w:szCs w:val="22"/>
                <w:highlight w:val="none"/>
              </w:rPr>
            </w:pPr>
          </w:p>
        </w:tc>
        <w:tc>
          <w:tcPr>
            <w:tcW w:w="2449" w:type="dxa"/>
            <w:vMerge w:val="continue"/>
            <w:vAlign w:val="center"/>
          </w:tcPr>
          <w:p w14:paraId="0002A51B">
            <w:pPr>
              <w:widowControl/>
              <w:shd w:val="clear"/>
              <w:jc w:val="center"/>
              <w:rPr>
                <w:rFonts w:ascii="仿宋" w:hAnsi="仿宋" w:eastAsia="仿宋" w:cs="Arial"/>
                <w:color w:val="auto"/>
                <w:kern w:val="0"/>
                <w:sz w:val="22"/>
                <w:szCs w:val="22"/>
                <w:highlight w:val="none"/>
              </w:rPr>
            </w:pPr>
          </w:p>
        </w:tc>
        <w:tc>
          <w:tcPr>
            <w:tcW w:w="1293" w:type="dxa"/>
            <w:vMerge w:val="continue"/>
            <w:vAlign w:val="center"/>
          </w:tcPr>
          <w:p w14:paraId="410E7855">
            <w:pPr>
              <w:widowControl/>
              <w:shd w:val="clear"/>
              <w:jc w:val="center"/>
              <w:rPr>
                <w:rFonts w:ascii="仿宋" w:hAnsi="仿宋" w:eastAsia="仿宋" w:cs="Arial"/>
                <w:color w:val="auto"/>
                <w:kern w:val="0"/>
                <w:sz w:val="22"/>
                <w:szCs w:val="22"/>
                <w:highlight w:val="none"/>
              </w:rPr>
            </w:pPr>
          </w:p>
        </w:tc>
      </w:tr>
      <w:tr w14:paraId="1D72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7D1D6B83">
            <w:pPr>
              <w:widowControl/>
              <w:shd w:val="clear"/>
              <w:jc w:val="center"/>
              <w:rPr>
                <w:rFonts w:hint="eastAsia" w:ascii="仿宋" w:hAnsi="仿宋" w:eastAsia="仿宋" w:cs="Arial"/>
                <w:color w:val="auto"/>
                <w:kern w:val="0"/>
                <w:sz w:val="22"/>
                <w:szCs w:val="22"/>
                <w:highlight w:val="none"/>
              </w:rPr>
            </w:pPr>
          </w:p>
        </w:tc>
        <w:tc>
          <w:tcPr>
            <w:tcW w:w="0" w:type="auto"/>
            <w:vAlign w:val="center"/>
          </w:tcPr>
          <w:p w14:paraId="6CB26E4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防水护罩</w:t>
            </w:r>
          </w:p>
        </w:tc>
        <w:tc>
          <w:tcPr>
            <w:tcW w:w="0" w:type="auto"/>
            <w:vAlign w:val="center"/>
          </w:tcPr>
          <w:p w14:paraId="143DBD5D">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材质：铝合金 ADC12 + PC透明罩</w:t>
            </w:r>
            <w:r>
              <w:rPr>
                <w:rFonts w:hint="eastAsia" w:ascii="仿宋" w:hAnsi="仿宋" w:eastAsia="仿宋" w:cs="Arial"/>
                <w:color w:val="auto"/>
                <w:kern w:val="0"/>
                <w:sz w:val="22"/>
                <w:szCs w:val="22"/>
                <w:highlight w:val="none"/>
              </w:rPr>
              <w:br w:type="textWrapping"/>
            </w:r>
            <w:r>
              <w:rPr>
                <w:rFonts w:hint="eastAsia" w:ascii="仿宋" w:hAnsi="仿宋" w:eastAsia="仿宋" w:cs="Arial"/>
                <w:color w:val="auto"/>
                <w:kern w:val="0"/>
                <w:sz w:val="22"/>
                <w:szCs w:val="22"/>
                <w:highlight w:val="none"/>
              </w:rPr>
              <w:t>透明罩直径：约 φ210 mm；防护：IP66、IK10；功能：内置加热除雾玻璃</w:t>
            </w:r>
          </w:p>
        </w:tc>
        <w:tc>
          <w:tcPr>
            <w:tcW w:w="0" w:type="auto"/>
            <w:shd w:val="clear" w:color="000000" w:fill="FFFFFF"/>
            <w:vAlign w:val="center"/>
          </w:tcPr>
          <w:p w14:paraId="1F966058">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个</w:t>
            </w:r>
          </w:p>
        </w:tc>
        <w:tc>
          <w:tcPr>
            <w:tcW w:w="0" w:type="auto"/>
            <w:shd w:val="clear" w:color="000000" w:fill="FFFFFF"/>
            <w:vAlign w:val="center"/>
          </w:tcPr>
          <w:p w14:paraId="66FAD55A">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continue"/>
            <w:vAlign w:val="center"/>
          </w:tcPr>
          <w:p w14:paraId="3FD7BF2D">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52CE0740">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44F8FD4A">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74013BE1">
            <w:pPr>
              <w:widowControl/>
              <w:shd w:val="clear"/>
              <w:jc w:val="center"/>
              <w:rPr>
                <w:rFonts w:ascii="仿宋" w:hAnsi="仿宋" w:eastAsia="仿宋" w:cs="Arial"/>
                <w:color w:val="auto"/>
                <w:kern w:val="0"/>
                <w:sz w:val="22"/>
                <w:szCs w:val="22"/>
                <w:highlight w:val="none"/>
              </w:rPr>
            </w:pPr>
          </w:p>
        </w:tc>
        <w:tc>
          <w:tcPr>
            <w:tcW w:w="2449" w:type="dxa"/>
            <w:vMerge w:val="continue"/>
            <w:vAlign w:val="center"/>
          </w:tcPr>
          <w:p w14:paraId="327B383D">
            <w:pPr>
              <w:widowControl/>
              <w:shd w:val="clear"/>
              <w:jc w:val="center"/>
              <w:rPr>
                <w:rFonts w:ascii="仿宋" w:hAnsi="仿宋" w:eastAsia="仿宋" w:cs="Arial"/>
                <w:color w:val="auto"/>
                <w:kern w:val="0"/>
                <w:sz w:val="22"/>
                <w:szCs w:val="22"/>
                <w:highlight w:val="none"/>
              </w:rPr>
            </w:pPr>
          </w:p>
        </w:tc>
        <w:tc>
          <w:tcPr>
            <w:tcW w:w="1293" w:type="dxa"/>
            <w:vMerge w:val="continue"/>
            <w:vAlign w:val="center"/>
          </w:tcPr>
          <w:p w14:paraId="52B5320A">
            <w:pPr>
              <w:widowControl/>
              <w:shd w:val="clear"/>
              <w:jc w:val="center"/>
              <w:rPr>
                <w:rFonts w:ascii="仿宋" w:hAnsi="仿宋" w:eastAsia="仿宋" w:cs="Arial"/>
                <w:color w:val="auto"/>
                <w:kern w:val="0"/>
                <w:sz w:val="22"/>
                <w:szCs w:val="22"/>
                <w:highlight w:val="none"/>
              </w:rPr>
            </w:pPr>
          </w:p>
        </w:tc>
      </w:tr>
      <w:tr w14:paraId="5F80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0" w:type="auto"/>
            <w:vMerge w:val="continue"/>
            <w:vAlign w:val="center"/>
          </w:tcPr>
          <w:p w14:paraId="0FEA155F">
            <w:pPr>
              <w:widowControl/>
              <w:shd w:val="clear"/>
              <w:jc w:val="center"/>
              <w:rPr>
                <w:rFonts w:hint="eastAsia" w:ascii="仿宋" w:hAnsi="仿宋" w:eastAsia="仿宋" w:cs="Arial"/>
                <w:color w:val="auto"/>
                <w:kern w:val="0"/>
                <w:sz w:val="22"/>
                <w:szCs w:val="22"/>
                <w:highlight w:val="none"/>
              </w:rPr>
            </w:pPr>
          </w:p>
        </w:tc>
        <w:tc>
          <w:tcPr>
            <w:tcW w:w="0" w:type="auto"/>
            <w:vAlign w:val="center"/>
          </w:tcPr>
          <w:p w14:paraId="22429CD4">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模块化电源</w:t>
            </w:r>
          </w:p>
        </w:tc>
        <w:tc>
          <w:tcPr>
            <w:tcW w:w="0" w:type="auto"/>
            <w:vAlign w:val="center"/>
          </w:tcPr>
          <w:p w14:paraId="70873725">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额定电压：DC 36V（±5%/±1%可调）；电压范围：通常 34V～38V（锂电常见30～42V）</w:t>
            </w:r>
          </w:p>
        </w:tc>
        <w:tc>
          <w:tcPr>
            <w:tcW w:w="0" w:type="auto"/>
            <w:shd w:val="clear" w:color="000000" w:fill="FFFFFF"/>
            <w:vAlign w:val="center"/>
          </w:tcPr>
          <w:p w14:paraId="0E5B873F">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个</w:t>
            </w:r>
          </w:p>
        </w:tc>
        <w:tc>
          <w:tcPr>
            <w:tcW w:w="0" w:type="auto"/>
            <w:shd w:val="clear" w:color="000000" w:fill="FFFFFF"/>
            <w:vAlign w:val="center"/>
          </w:tcPr>
          <w:p w14:paraId="686038A7">
            <w:pPr>
              <w:widowControl/>
              <w:shd w:val="clear"/>
              <w:jc w:val="center"/>
              <w:rPr>
                <w:rFonts w:hint="eastAsia" w:ascii="仿宋" w:hAnsi="仿宋" w:eastAsia="仿宋" w:cs="Arial"/>
                <w:color w:val="auto"/>
                <w:kern w:val="0"/>
                <w:sz w:val="22"/>
                <w:szCs w:val="22"/>
                <w:highlight w:val="none"/>
              </w:rPr>
            </w:pPr>
            <w:r>
              <w:rPr>
                <w:rFonts w:hint="eastAsia" w:ascii="仿宋" w:hAnsi="仿宋" w:eastAsia="仿宋" w:cs="Arial"/>
                <w:color w:val="auto"/>
                <w:kern w:val="0"/>
                <w:sz w:val="22"/>
                <w:szCs w:val="22"/>
                <w:highlight w:val="none"/>
              </w:rPr>
              <w:t>152</w:t>
            </w:r>
          </w:p>
        </w:tc>
        <w:tc>
          <w:tcPr>
            <w:tcW w:w="0" w:type="auto"/>
            <w:vMerge w:val="continue"/>
            <w:vAlign w:val="center"/>
          </w:tcPr>
          <w:p w14:paraId="4E6A446C">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5DCFB056">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03ACA990">
            <w:pPr>
              <w:widowControl/>
              <w:shd w:val="clear"/>
              <w:jc w:val="center"/>
              <w:rPr>
                <w:rFonts w:ascii="仿宋" w:hAnsi="仿宋" w:eastAsia="仿宋" w:cs="Arial"/>
                <w:color w:val="auto"/>
                <w:kern w:val="0"/>
                <w:sz w:val="22"/>
                <w:szCs w:val="22"/>
                <w:highlight w:val="none"/>
              </w:rPr>
            </w:pPr>
          </w:p>
        </w:tc>
        <w:tc>
          <w:tcPr>
            <w:tcW w:w="0" w:type="auto"/>
            <w:vMerge w:val="continue"/>
            <w:vAlign w:val="center"/>
          </w:tcPr>
          <w:p w14:paraId="2F4C7202">
            <w:pPr>
              <w:widowControl/>
              <w:shd w:val="clear"/>
              <w:jc w:val="center"/>
              <w:rPr>
                <w:rFonts w:ascii="仿宋" w:hAnsi="仿宋" w:eastAsia="仿宋" w:cs="Arial"/>
                <w:color w:val="auto"/>
                <w:kern w:val="0"/>
                <w:sz w:val="22"/>
                <w:szCs w:val="22"/>
                <w:highlight w:val="none"/>
              </w:rPr>
            </w:pPr>
          </w:p>
        </w:tc>
        <w:tc>
          <w:tcPr>
            <w:tcW w:w="2449" w:type="dxa"/>
            <w:vMerge w:val="continue"/>
            <w:vAlign w:val="center"/>
          </w:tcPr>
          <w:p w14:paraId="4E755344">
            <w:pPr>
              <w:widowControl/>
              <w:shd w:val="clear"/>
              <w:jc w:val="center"/>
              <w:rPr>
                <w:rFonts w:ascii="仿宋" w:hAnsi="仿宋" w:eastAsia="仿宋" w:cs="Arial"/>
                <w:color w:val="auto"/>
                <w:kern w:val="0"/>
                <w:sz w:val="22"/>
                <w:szCs w:val="22"/>
                <w:highlight w:val="none"/>
              </w:rPr>
            </w:pPr>
          </w:p>
        </w:tc>
        <w:tc>
          <w:tcPr>
            <w:tcW w:w="1293" w:type="dxa"/>
            <w:vMerge w:val="continue"/>
            <w:vAlign w:val="center"/>
          </w:tcPr>
          <w:p w14:paraId="551E60C4">
            <w:pPr>
              <w:widowControl/>
              <w:shd w:val="clear"/>
              <w:jc w:val="center"/>
              <w:rPr>
                <w:rFonts w:ascii="仿宋" w:hAnsi="仿宋" w:eastAsia="仿宋" w:cs="Arial"/>
                <w:color w:val="auto"/>
                <w:kern w:val="0"/>
                <w:sz w:val="22"/>
                <w:szCs w:val="22"/>
                <w:highlight w:val="none"/>
              </w:rPr>
            </w:pPr>
          </w:p>
        </w:tc>
      </w:tr>
    </w:tbl>
    <w:p w14:paraId="42955E19">
      <w:pPr>
        <w:shd w:val="clear"/>
        <w:ind w:firstLine="420"/>
        <w:rPr>
          <w:rFonts w:ascii="仿宋" w:hAnsi="仿宋" w:eastAsia="仿宋"/>
          <w:color w:val="auto"/>
          <w:sz w:val="22"/>
          <w:szCs w:val="22"/>
          <w:highlight w:val="none"/>
        </w:rPr>
      </w:pPr>
      <w:r>
        <w:rPr>
          <w:rFonts w:hint="eastAsia" w:ascii="仿宋" w:hAnsi="仿宋" w:eastAsia="仿宋"/>
          <w:color w:val="auto"/>
          <w:sz w:val="22"/>
          <w:szCs w:val="22"/>
          <w:highlight w:val="none"/>
        </w:rPr>
        <w:t>具体供货不局限于上述产品。应包括上述产品相关配件，类似升级产品。</w:t>
      </w:r>
    </w:p>
    <w:p w14:paraId="6F044E9F">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备注：</w:t>
      </w:r>
    </w:p>
    <w:p w14:paraId="0699F263">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5929D764">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②.投标文件中提供的证明材料复印件应复印清晰、可辨认且不得遮盖、涂抹，否则视为无效。</w:t>
      </w:r>
    </w:p>
    <w:p w14:paraId="1DAF9995">
      <w:pPr>
        <w:shd w:val="clear"/>
        <w:rPr>
          <w:rFonts w:ascii="仿宋" w:hAnsi="仿宋" w:eastAsia="仿宋"/>
          <w:color w:val="auto"/>
          <w:sz w:val="22"/>
          <w:szCs w:val="22"/>
          <w:highlight w:val="none"/>
        </w:rPr>
      </w:pPr>
      <w:r>
        <w:rPr>
          <w:rFonts w:hint="eastAsia" w:ascii="仿宋" w:hAnsi="仿宋" w:eastAsia="仿宋"/>
          <w:color w:val="auto"/>
          <w:sz w:val="22"/>
          <w:szCs w:val="22"/>
          <w:highlight w:val="none"/>
        </w:rPr>
        <w:t>③</w:t>
      </w:r>
      <w:r>
        <w:rPr>
          <w:rFonts w:ascii="仿宋" w:hAnsi="仿宋" w:eastAsia="仿宋"/>
          <w:color w:val="auto"/>
          <w:sz w:val="22"/>
          <w:szCs w:val="22"/>
          <w:highlight w:val="none"/>
        </w:rPr>
        <w:t>.</w:t>
      </w:r>
      <w:r>
        <w:rPr>
          <w:rFonts w:hint="eastAsia" w:ascii="仿宋" w:hAnsi="仿宋" w:eastAsia="仿宋"/>
          <w:color w:val="auto"/>
          <w:sz w:val="22"/>
          <w:szCs w:val="22"/>
          <w:highlight w:val="none"/>
        </w:rPr>
        <w:t>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w:t>
      </w:r>
      <w:r>
        <w:rPr>
          <w:rFonts w:hint="eastAsia" w:ascii="仿宋" w:hAnsi="仿宋" w:eastAsia="仿宋"/>
          <w:b/>
          <w:bCs/>
          <w:color w:val="auto"/>
          <w:sz w:val="22"/>
          <w:szCs w:val="22"/>
          <w:highlight w:val="none"/>
        </w:rPr>
        <w:t>业绩认定时间</w:t>
      </w:r>
      <w:r>
        <w:rPr>
          <w:rFonts w:hint="eastAsia" w:ascii="仿宋" w:hAnsi="仿宋" w:eastAsia="仿宋"/>
          <w:color w:val="auto"/>
          <w:sz w:val="22"/>
          <w:szCs w:val="22"/>
          <w:highlight w:val="none"/>
        </w:rPr>
        <w:t>以合同签订时间为准，若合同无签署日期，且无其他可以证明合同签署日期的文件，则该项业绩无效。若合同上存在多个签署日期的，以最后一方签署的时间为准。</w:t>
      </w:r>
      <w:r>
        <w:rPr>
          <w:rFonts w:hint="eastAsia" w:ascii="仿宋" w:hAnsi="仿宋" w:eastAsia="仿宋"/>
          <w:b/>
          <w:bCs/>
          <w:color w:val="auto"/>
          <w:sz w:val="22"/>
          <w:szCs w:val="22"/>
          <w:highlight w:val="none"/>
        </w:rPr>
        <w:t>业绩认定金额或份数以合同和对应发票二者中的最少数额为准。</w:t>
      </w:r>
    </w:p>
    <w:p w14:paraId="651D00BF">
      <w:pPr>
        <w:shd w:val="clear"/>
        <w:rPr>
          <w:rFonts w:ascii="仿宋" w:hAnsi="仿宋" w:eastAsia="仿宋"/>
          <w:color w:val="auto"/>
          <w:sz w:val="22"/>
          <w:szCs w:val="22"/>
          <w:highlight w:val="none"/>
        </w:rPr>
        <w:sectPr>
          <w:pgSz w:w="16838" w:h="11906" w:orient="landscape"/>
          <w:pgMar w:top="1800" w:right="1440" w:bottom="1800" w:left="1440" w:header="851" w:footer="992" w:gutter="0"/>
          <w:cols w:space="425" w:num="1"/>
          <w:docGrid w:type="lines" w:linePitch="312" w:charSpace="0"/>
        </w:sectPr>
      </w:pPr>
      <w:r>
        <w:rPr>
          <w:rFonts w:hint="eastAsia" w:ascii="仿宋" w:hAnsi="仿宋" w:eastAsia="仿宋"/>
          <w:color w:val="auto"/>
          <w:sz w:val="22"/>
          <w:szCs w:val="22"/>
          <w:highlight w:val="none"/>
        </w:rPr>
        <w:t>④</w:t>
      </w:r>
      <w:r>
        <w:rPr>
          <w:rFonts w:ascii="仿宋" w:hAnsi="仿宋" w:eastAsia="仿宋"/>
          <w:color w:val="auto"/>
          <w:sz w:val="22"/>
          <w:szCs w:val="22"/>
          <w:highlight w:val="none"/>
        </w:rPr>
        <w:t>.</w:t>
      </w:r>
      <w:r>
        <w:rPr>
          <w:rFonts w:hint="eastAsia" w:ascii="仿宋" w:hAnsi="仿宋" w:eastAsia="仿宋"/>
          <w:color w:val="auto"/>
          <w:sz w:val="22"/>
          <w:szCs w:val="22"/>
          <w:highlight w:val="none"/>
        </w:rPr>
        <w:t>业绩发票影印件后须附通过</w:t>
      </w:r>
      <w:r>
        <w:rPr>
          <w:rFonts w:hint="eastAsia" w:ascii="仿宋" w:hAnsi="仿宋" w:eastAsia="仿宋"/>
          <w:b/>
          <w:bCs/>
          <w:color w:val="auto"/>
          <w:sz w:val="22"/>
          <w:szCs w:val="22"/>
          <w:highlight w:val="none"/>
        </w:rPr>
        <w:t>国家税务总局全国增值税发票查验平台</w:t>
      </w:r>
      <w:r>
        <w:rPr>
          <w:rFonts w:hint="eastAsia" w:ascii="仿宋" w:hAnsi="仿宋" w:eastAsia="仿宋"/>
          <w:color w:val="auto"/>
          <w:sz w:val="22"/>
          <w:szCs w:val="22"/>
          <w:highlight w:val="none"/>
        </w:rPr>
        <w:t>（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p>
    <w:p w14:paraId="326088C8">
      <w:pPr>
        <w:pStyle w:val="9"/>
        <w:shd w:val="clear"/>
        <w:spacing w:line="400" w:lineRule="exact"/>
        <w:rPr>
          <w:rFonts w:hint="default" w:ascii="黑体" w:hAnsi="黑体" w:eastAsia="黑体" w:cs="黑体"/>
          <w:b/>
          <w:bCs/>
          <w:color w:val="auto"/>
          <w:kern w:val="2"/>
          <w:sz w:val="24"/>
          <w:szCs w:val="24"/>
          <w:highlight w:val="none"/>
          <w:lang w:val="en-US" w:eastAsia="zh-CN"/>
        </w:rPr>
      </w:pPr>
      <w:r>
        <w:rPr>
          <w:rFonts w:hint="eastAsia" w:ascii="黑体" w:hAnsi="黑体" w:eastAsia="黑体" w:cs="黑体"/>
          <w:b/>
          <w:bCs/>
          <w:color w:val="auto"/>
          <w:kern w:val="2"/>
          <w:sz w:val="24"/>
          <w:szCs w:val="24"/>
          <w:highlight w:val="none"/>
          <w:lang w:val="en-US" w:eastAsia="zh-CN"/>
        </w:rPr>
        <w:t>分标四：气体监测设备组件采购项目</w:t>
      </w:r>
    </w:p>
    <w:p w14:paraId="144186D0">
      <w:pPr>
        <w:pStyle w:val="9"/>
        <w:shd w:val="clear"/>
        <w:spacing w:beforeLines="0" w:afterLines="0"/>
        <w:rPr>
          <w:rFonts w:hint="default" w:ascii="黑体" w:hAnsi="黑体" w:eastAsia="黑体" w:cs="黑体"/>
          <w:b/>
          <w:color w:val="auto"/>
          <w:kern w:val="2"/>
          <w:sz w:val="24"/>
          <w:szCs w:val="24"/>
          <w:highlight w:val="none"/>
          <w:lang w:val="en-US"/>
        </w:rPr>
      </w:pPr>
      <w:r>
        <w:rPr>
          <w:rFonts w:hint="eastAsia" w:ascii="黑体" w:hAnsi="黑体" w:eastAsia="黑体" w:cs="黑体"/>
          <w:b/>
          <w:bCs/>
          <w:color w:val="auto"/>
          <w:kern w:val="2"/>
          <w:sz w:val="24"/>
          <w:szCs w:val="24"/>
          <w:highlight w:val="none"/>
          <w:lang w:val="en-US" w:eastAsia="zh-CN"/>
        </w:rPr>
        <w:t>分标编号：CY0626SWWP66FZ04</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590"/>
        <w:gridCol w:w="468"/>
        <w:gridCol w:w="468"/>
        <w:gridCol w:w="726"/>
        <w:gridCol w:w="498"/>
        <w:gridCol w:w="711"/>
        <w:gridCol w:w="5134"/>
        <w:gridCol w:w="4011"/>
        <w:gridCol w:w="798"/>
      </w:tblGrid>
      <w:tr w14:paraId="58E5C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39" w:hRule="atLeast"/>
          <w:jc w:val="center"/>
        </w:trPr>
        <w:tc>
          <w:tcPr>
            <w:tcW w:w="0" w:type="auto"/>
            <w:vAlign w:val="center"/>
          </w:tcPr>
          <w:p w14:paraId="7328179C">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项目名称及包号</w:t>
            </w:r>
          </w:p>
        </w:tc>
        <w:tc>
          <w:tcPr>
            <w:tcW w:w="0" w:type="auto"/>
            <w:vAlign w:val="center"/>
          </w:tcPr>
          <w:p w14:paraId="5BC6FC1B">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主要技术要求</w:t>
            </w:r>
          </w:p>
        </w:tc>
        <w:tc>
          <w:tcPr>
            <w:tcW w:w="0" w:type="auto"/>
            <w:vAlign w:val="center"/>
          </w:tcPr>
          <w:p w14:paraId="771D5EC4">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单位</w:t>
            </w:r>
          </w:p>
        </w:tc>
        <w:tc>
          <w:tcPr>
            <w:tcW w:w="0" w:type="auto"/>
            <w:vAlign w:val="center"/>
          </w:tcPr>
          <w:p w14:paraId="40FF175F">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数量</w:t>
            </w:r>
          </w:p>
        </w:tc>
        <w:tc>
          <w:tcPr>
            <w:tcW w:w="0" w:type="auto"/>
            <w:vAlign w:val="center"/>
          </w:tcPr>
          <w:p w14:paraId="0D6CB752">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w:t>
            </w:r>
          </w:p>
          <w:p w14:paraId="12FE935E">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日期</w:t>
            </w:r>
          </w:p>
        </w:tc>
        <w:tc>
          <w:tcPr>
            <w:tcW w:w="0" w:type="auto"/>
            <w:vAlign w:val="center"/>
          </w:tcPr>
          <w:p w14:paraId="797DE865">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质保期</w:t>
            </w:r>
          </w:p>
        </w:tc>
        <w:tc>
          <w:tcPr>
            <w:tcW w:w="0" w:type="auto"/>
            <w:vAlign w:val="center"/>
          </w:tcPr>
          <w:p w14:paraId="3DC2EE86">
            <w:pPr>
              <w:widowControl/>
              <w:shd w:val="clear"/>
              <w:jc w:val="center"/>
              <w:rPr>
                <w:rFonts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交货地点</w:t>
            </w:r>
          </w:p>
        </w:tc>
        <w:tc>
          <w:tcPr>
            <w:tcW w:w="0" w:type="auto"/>
            <w:vAlign w:val="center"/>
          </w:tcPr>
          <w:p w14:paraId="503D566F">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专用资质要求</w:t>
            </w:r>
          </w:p>
        </w:tc>
        <w:tc>
          <w:tcPr>
            <w:tcW w:w="0" w:type="auto"/>
            <w:vAlign w:val="center"/>
          </w:tcPr>
          <w:p w14:paraId="573841FC">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lang w:val="en-US" w:eastAsia="zh-CN"/>
              </w:rPr>
              <w:t>专用业绩要求</w:t>
            </w:r>
          </w:p>
        </w:tc>
        <w:tc>
          <w:tcPr>
            <w:tcW w:w="0" w:type="auto"/>
            <w:vAlign w:val="center"/>
          </w:tcPr>
          <w:p w14:paraId="0ACCE9E4">
            <w:pPr>
              <w:widowControl/>
              <w:shd w:val="clear"/>
              <w:jc w:val="center"/>
              <w:rPr>
                <w:rFonts w:hint="eastAsia" w:ascii="仿宋" w:hAnsi="仿宋" w:eastAsia="仿宋" w:cs="仿宋"/>
                <w:b/>
                <w:bCs/>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val="en-US" w:eastAsia="zh-CN"/>
              </w:rPr>
              <w:t>保证金金</w:t>
            </w:r>
          </w:p>
          <w:p w14:paraId="1A82996E">
            <w:pPr>
              <w:widowControl/>
              <w:shd w:val="clear"/>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4"/>
                <w:szCs w:val="24"/>
                <w:highlight w:val="none"/>
                <w:lang w:val="en-US" w:eastAsia="zh-CN"/>
              </w:rPr>
              <w:t>额（万元）</w:t>
            </w:r>
          </w:p>
        </w:tc>
      </w:tr>
      <w:tr w14:paraId="69C8B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7" w:hRule="atLeast"/>
          <w:jc w:val="center"/>
        </w:trPr>
        <w:tc>
          <w:tcPr>
            <w:tcW w:w="0" w:type="auto"/>
            <w:vAlign w:val="center"/>
          </w:tcPr>
          <w:p w14:paraId="74C5EAAE">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气体监测设备组件采购项目</w:t>
            </w:r>
          </w:p>
        </w:tc>
        <w:tc>
          <w:tcPr>
            <w:tcW w:w="0" w:type="auto"/>
            <w:vAlign w:val="center"/>
          </w:tcPr>
          <w:p w14:paraId="30AED58D">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详见技术规范</w:t>
            </w:r>
          </w:p>
        </w:tc>
        <w:tc>
          <w:tcPr>
            <w:tcW w:w="0" w:type="auto"/>
            <w:shd w:val="clear" w:color="000000" w:fill="FFFFFF"/>
            <w:vAlign w:val="center"/>
          </w:tcPr>
          <w:p w14:paraId="41DE2E2F">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宗</w:t>
            </w:r>
          </w:p>
        </w:tc>
        <w:tc>
          <w:tcPr>
            <w:tcW w:w="0" w:type="auto"/>
            <w:shd w:val="clear" w:color="000000" w:fill="FFFFFF"/>
            <w:vAlign w:val="center"/>
          </w:tcPr>
          <w:p w14:paraId="60A0E7C9">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w:t>
            </w:r>
          </w:p>
        </w:tc>
        <w:tc>
          <w:tcPr>
            <w:tcW w:w="0" w:type="auto"/>
            <w:vAlign w:val="center"/>
          </w:tcPr>
          <w:p w14:paraId="34728BA5">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接到供货通知后15日内</w:t>
            </w:r>
          </w:p>
        </w:tc>
        <w:tc>
          <w:tcPr>
            <w:tcW w:w="0" w:type="auto"/>
            <w:vAlign w:val="center"/>
          </w:tcPr>
          <w:p w14:paraId="349DAF8D">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3年</w:t>
            </w:r>
          </w:p>
        </w:tc>
        <w:tc>
          <w:tcPr>
            <w:tcW w:w="0" w:type="auto"/>
            <w:vAlign w:val="center"/>
          </w:tcPr>
          <w:p w14:paraId="32C0286A">
            <w:pPr>
              <w:widowControl/>
              <w:shd w:val="clear"/>
              <w:jc w:val="center"/>
              <w:rPr>
                <w:rFonts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买方指定仓库地面交货</w:t>
            </w:r>
          </w:p>
        </w:tc>
        <w:tc>
          <w:tcPr>
            <w:tcW w:w="0" w:type="auto"/>
            <w:vAlign w:val="center"/>
          </w:tcPr>
          <w:p w14:paraId="6B1D3278">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宋体"/>
                <w:b/>
                <w:bCs/>
                <w:color w:val="auto"/>
                <w:kern w:val="0"/>
                <w:sz w:val="22"/>
                <w:szCs w:val="22"/>
                <w:highlight w:val="none"/>
                <w:lang w:val="en-US" w:eastAsia="zh-CN"/>
              </w:rPr>
              <w:t>1.</w:t>
            </w:r>
            <w:r>
              <w:rPr>
                <w:rFonts w:hint="eastAsia" w:ascii="仿宋" w:hAnsi="仿宋" w:eastAsia="仿宋" w:cs="宋体"/>
                <w:b/>
                <w:bCs/>
                <w:color w:val="auto"/>
                <w:kern w:val="0"/>
                <w:sz w:val="22"/>
                <w:szCs w:val="22"/>
                <w:highlight w:val="none"/>
              </w:rPr>
              <w:t>厂商要求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制造商</w:t>
            </w:r>
            <w:r>
              <w:rPr>
                <w:rFonts w:hint="eastAsia" w:ascii="仿宋" w:hAnsi="仿宋" w:eastAsia="仿宋" w:cs="宋体"/>
                <w:b/>
                <w:bCs/>
                <w:color w:val="auto"/>
                <w:kern w:val="0"/>
                <w:sz w:val="22"/>
                <w:szCs w:val="22"/>
                <w:highlight w:val="none"/>
                <w:lang w:val="en-US" w:eastAsia="zh-CN"/>
              </w:rPr>
              <w:t>2.</w:t>
            </w:r>
            <w:r>
              <w:rPr>
                <w:rFonts w:hint="eastAsia" w:ascii="仿宋" w:hAnsi="仿宋" w:eastAsia="仿宋" w:cs="宋体"/>
                <w:b/>
                <w:bCs/>
                <w:color w:val="auto"/>
                <w:kern w:val="0"/>
                <w:sz w:val="22"/>
                <w:szCs w:val="22"/>
                <w:highlight w:val="none"/>
              </w:rPr>
              <w:t>产品型式试验报告或检测报告或鉴定报告</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提供所投产品第三方权威机构出具的检测报告</w:t>
            </w:r>
            <w:r>
              <w:rPr>
                <w:rFonts w:hint="eastAsia" w:ascii="仿宋" w:hAnsi="仿宋" w:eastAsia="仿宋" w:cs="宋体"/>
                <w:b/>
                <w:bCs/>
                <w:color w:val="auto"/>
                <w:kern w:val="0"/>
                <w:sz w:val="22"/>
                <w:szCs w:val="22"/>
                <w:highlight w:val="none"/>
                <w:lang w:val="en-US" w:eastAsia="zh-CN"/>
              </w:rPr>
              <w:t>3.</w:t>
            </w:r>
            <w:r>
              <w:rPr>
                <w:rFonts w:hint="eastAsia" w:ascii="仿宋" w:hAnsi="仿宋" w:eastAsia="仿宋" w:cs="宋体"/>
                <w:b/>
                <w:bCs/>
                <w:color w:val="auto"/>
                <w:kern w:val="0"/>
                <w:sz w:val="22"/>
                <w:szCs w:val="22"/>
                <w:highlight w:val="none"/>
              </w:rPr>
              <w:t>生产厂房</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需具有生产投标产品所需的生产场地。（生产厂房应为自有或长期租赁。其中生产厂房为自有的提供土地使用权证或房屋产权证；长期租赁的提供租赁合同，并提供厂房所有人的土地使用权或房屋产权证明。对于因各种原因未办理土地所有权证及房屋产权证的，应提供乡镇级及以上政府相关部门出具的有效证明材料。招标人有权对其进行进一步的现场核实。）</w:t>
            </w:r>
          </w:p>
        </w:tc>
        <w:tc>
          <w:tcPr>
            <w:tcW w:w="0" w:type="auto"/>
            <w:vAlign w:val="center"/>
          </w:tcPr>
          <w:p w14:paraId="1BA74AB5">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宋体"/>
                <w:b/>
                <w:bCs/>
                <w:color w:val="auto"/>
                <w:kern w:val="0"/>
                <w:sz w:val="22"/>
                <w:szCs w:val="22"/>
                <w:highlight w:val="none"/>
              </w:rPr>
              <w:t>业绩要求</w:t>
            </w:r>
            <w:r>
              <w:rPr>
                <w:rFonts w:hint="eastAsia" w:ascii="仿宋" w:hAnsi="仿宋" w:eastAsia="仿宋" w:cs="宋体"/>
                <w:b/>
                <w:bCs/>
                <w:color w:val="auto"/>
                <w:kern w:val="0"/>
                <w:sz w:val="22"/>
                <w:szCs w:val="22"/>
                <w:highlight w:val="none"/>
                <w:lang w:eastAsia="zh-CN"/>
              </w:rPr>
              <w:t>：</w:t>
            </w:r>
            <w:r>
              <w:rPr>
                <w:rFonts w:hint="eastAsia" w:ascii="仿宋" w:hAnsi="仿宋" w:eastAsia="仿宋" w:cs="宋体"/>
                <w:color w:val="auto"/>
                <w:kern w:val="0"/>
                <w:sz w:val="22"/>
                <w:szCs w:val="22"/>
                <w:highlight w:val="none"/>
              </w:rPr>
              <w:t>2023年1月1日至招标公告发布之日内，具有</w:t>
            </w:r>
            <w:r>
              <w:rPr>
                <w:rFonts w:hint="eastAsia" w:ascii="仿宋" w:hAnsi="仿宋" w:eastAsia="仿宋" w:cs="仿宋"/>
                <w:color w:val="auto"/>
                <w:kern w:val="0"/>
                <w:sz w:val="22"/>
                <w:szCs w:val="22"/>
                <w:highlight w:val="none"/>
              </w:rPr>
              <w:t>SF6在线监测</w:t>
            </w:r>
            <w:r>
              <w:rPr>
                <w:rFonts w:hint="eastAsia" w:ascii="仿宋" w:hAnsi="仿宋" w:eastAsia="仿宋" w:cs="宋体"/>
                <w:color w:val="auto"/>
                <w:kern w:val="0"/>
                <w:sz w:val="22"/>
                <w:szCs w:val="22"/>
                <w:highlight w:val="none"/>
              </w:rPr>
              <w:t>类产品累计销售业绩不小于100万元。（</w:t>
            </w:r>
            <w:r>
              <w:rPr>
                <w:rFonts w:hint="eastAsia" w:ascii="仿宋" w:hAnsi="仿宋" w:eastAsia="仿宋" w:cs="方正仿宋_GBK"/>
                <w:color w:val="auto"/>
                <w:kern w:val="0"/>
                <w:sz w:val="22"/>
                <w:szCs w:val="22"/>
                <w:highlight w:val="none"/>
                <w:lang w:bidi="ar"/>
              </w:rPr>
              <w:t>时间以合同签订日期为准，须提供用户合同封面、金额页、合同签字盖章页复印件、证明合同内容的合同页、发票复印件、发票查验结果截图</w:t>
            </w:r>
            <w:r>
              <w:rPr>
                <w:rFonts w:hint="eastAsia" w:ascii="仿宋" w:hAnsi="仿宋" w:eastAsia="仿宋" w:cs="宋体"/>
                <w:color w:val="auto"/>
                <w:kern w:val="0"/>
                <w:sz w:val="22"/>
                <w:szCs w:val="22"/>
                <w:highlight w:val="none"/>
              </w:rPr>
              <w:t>）</w:t>
            </w:r>
          </w:p>
        </w:tc>
        <w:tc>
          <w:tcPr>
            <w:tcW w:w="0" w:type="auto"/>
            <w:vAlign w:val="center"/>
          </w:tcPr>
          <w:p w14:paraId="356FAC1F">
            <w:pPr>
              <w:widowControl/>
              <w:shd w:val="clear"/>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1.3</w:t>
            </w:r>
          </w:p>
        </w:tc>
      </w:tr>
    </w:tbl>
    <w:p w14:paraId="53A39026">
      <w:pPr>
        <w:shd w:val="clear"/>
        <w:ind w:firstLine="420"/>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具体供货不局限于上述产品。应包括上述产品相关配件，类似升级产品。</w:t>
      </w:r>
    </w:p>
    <w:p w14:paraId="00FF6710">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7CED8B39">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①.取得《国家电网有限公司集中规模招标采购供应商资质能力核实证明》（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7D707C68">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②.投标文件中提供的证明材料复印件应复印清晰、可辨认且不得遮盖、涂抹，否则视为无效。</w:t>
      </w:r>
    </w:p>
    <w:p w14:paraId="113CBDA2">
      <w:pPr>
        <w:shd w:val="clear"/>
        <w:rPr>
          <w:rFonts w:ascii="仿宋" w:hAnsi="仿宋" w:eastAsia="仿宋" w:cs="仿宋"/>
          <w:color w:val="auto"/>
          <w:sz w:val="22"/>
          <w:szCs w:val="22"/>
          <w:highlight w:val="none"/>
        </w:rPr>
      </w:pPr>
      <w:r>
        <w:rPr>
          <w:rFonts w:hint="eastAsia" w:ascii="仿宋" w:hAnsi="仿宋" w:eastAsia="仿宋" w:cs="仿宋"/>
          <w:color w:val="auto"/>
          <w:sz w:val="22"/>
          <w:szCs w:val="22"/>
          <w:highlight w:val="none"/>
        </w:rPr>
        <w:t>③.本批次采购业绩均应出具与项目建设单位直接签订并执行的合同关键部分（包括封面、合同协议书、签署页、承包范围（工作内容）及其它关键条款等）（转包、分包合同不予认可）和发票原件影印件（至少提供预付款、进度款、结算款三种发票中的一种，发票扫描件需清晰可辨，发票二维码区不得遮挡、涂抹，如因扫描件模糊无法查验真伪的，该业绩可能不被认可）作为支撑材料。业绩认定时间以合同签订时间为准，若合同无签署日期，且无其他可以证明合同签署日期的文件，则该项业绩无效。若合同上存在多个签署日期的，以最后一方签署的时间为准。业绩认定金额或份数以合同和对应发票二者中的最少数额为准。</w:t>
      </w:r>
    </w:p>
    <w:p w14:paraId="00AAF2A5">
      <w:pPr>
        <w:pStyle w:val="2"/>
        <w:shd w:val="clea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2"/>
          <w:szCs w:val="22"/>
          <w:highlight w:val="none"/>
        </w:rPr>
        <w:t>④.业绩发票影印件后须附通过国家税务总局全国增值税发票查验平台（网址：https://inv-veri.chinatax.gov.cn/）查验的发票结果截图，“一发票一截图”，发票开票日期不得晚于采购公告发布时间。未提供发票或未提供对应发票查验结果截图的或发票开标日期晚于采购公告发布时间的业绩不予认可。所有业绩支撑证明材料内容须保证清晰、可辨认且不得遮盖、涂抹</w:t>
      </w:r>
      <w:r>
        <w:rPr>
          <w:rFonts w:hint="eastAsia" w:ascii="仿宋" w:hAnsi="仿宋" w:eastAsia="仿宋" w:cs="仿宋"/>
          <w:b/>
          <w:bCs/>
          <w:color w:val="auto"/>
          <w:sz w:val="22"/>
          <w:szCs w:val="22"/>
          <w:highlight w:val="none"/>
        </w:rPr>
        <w:t>。</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46C28">
    <w:pPr>
      <w:pStyle w:val="5"/>
      <w:spacing w:beforeLines="0" w:afterLines="0"/>
      <w:jc w:val="center"/>
      <w:rPr>
        <w:rFonts w:hint="eastAsia" w:eastAsia="等线"/>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98CC3">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B398CC3">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4CA91AB3">
                          <w:pPr>
                            <w:pStyle w:val="5"/>
                            <w:spacing w:beforeLines="0" w:afterLines="0"/>
                            <w:rPr>
                              <w:rFonts w:hint="default"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AWJSK0zgEAAJYDAAAOAAAAAAAAAAEAIAAAAB8BAABkcnMv&#10;ZTJvRG9jLnhtbFBLBQYAAAAABgAGAFkBAABfBQAAAAA=&#10;">
              <v:fill on="f" focussize="0,0"/>
              <v:stroke on="f"/>
              <v:imagedata o:title=""/>
              <o:lock v:ext="edit" aspectratio="f"/>
              <v:textbox inset="0mm,0mm,0mm,0mm" style="mso-fit-shape-to-text:t;">
                <w:txbxContent>
                  <w:p w14:paraId="4CA91AB3">
                    <w:pPr>
                      <w:pStyle w:val="5"/>
                      <w:spacing w:beforeLines="0" w:afterLines="0"/>
                      <w:rPr>
                        <w:rFonts w:hint="default" w:eastAsia="宋体"/>
                        <w:sz w:val="18"/>
                        <w:szCs w:val="18"/>
                      </w:rPr>
                    </w:pPr>
                  </w:p>
                </w:txbxContent>
              </v:textbox>
            </v:shape>
          </w:pict>
        </mc:Fallback>
      </mc:AlternateContent>
    </w:r>
  </w:p>
  <w:p w14:paraId="3BC355C9">
    <w:pPr>
      <w:pStyle w:val="5"/>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1MDU5YTZhN2I5NmNkYTlmODZjMTEyNGE1ZmU2ZDUifQ=="/>
  </w:docVars>
  <w:rsids>
    <w:rsidRoot w:val="00000000"/>
    <w:rsid w:val="000D72BD"/>
    <w:rsid w:val="00A25177"/>
    <w:rsid w:val="037D22A8"/>
    <w:rsid w:val="03C84E6D"/>
    <w:rsid w:val="059800A2"/>
    <w:rsid w:val="08964B56"/>
    <w:rsid w:val="0A2A4A06"/>
    <w:rsid w:val="0A64315D"/>
    <w:rsid w:val="0B5807E8"/>
    <w:rsid w:val="0CCE345C"/>
    <w:rsid w:val="0D1B387B"/>
    <w:rsid w:val="0D8B0A01"/>
    <w:rsid w:val="0DC91529"/>
    <w:rsid w:val="0EA004DC"/>
    <w:rsid w:val="10710382"/>
    <w:rsid w:val="109656CC"/>
    <w:rsid w:val="112C7E60"/>
    <w:rsid w:val="11630B27"/>
    <w:rsid w:val="12414272"/>
    <w:rsid w:val="12790206"/>
    <w:rsid w:val="127E0235"/>
    <w:rsid w:val="13370CE3"/>
    <w:rsid w:val="134B41B5"/>
    <w:rsid w:val="145A112D"/>
    <w:rsid w:val="15BF5ABC"/>
    <w:rsid w:val="166B5873"/>
    <w:rsid w:val="17C3523B"/>
    <w:rsid w:val="1A85619E"/>
    <w:rsid w:val="1ACD2659"/>
    <w:rsid w:val="1BC03F6C"/>
    <w:rsid w:val="1CFF0AC4"/>
    <w:rsid w:val="1CFF2872"/>
    <w:rsid w:val="1DF63C75"/>
    <w:rsid w:val="21B856E5"/>
    <w:rsid w:val="22F015DA"/>
    <w:rsid w:val="22F8223D"/>
    <w:rsid w:val="231057D9"/>
    <w:rsid w:val="2366189C"/>
    <w:rsid w:val="2580651A"/>
    <w:rsid w:val="25FA62CC"/>
    <w:rsid w:val="262A4E03"/>
    <w:rsid w:val="26D703BB"/>
    <w:rsid w:val="279577F1"/>
    <w:rsid w:val="2A097F53"/>
    <w:rsid w:val="2A930A9D"/>
    <w:rsid w:val="2AA35A68"/>
    <w:rsid w:val="2BB94533"/>
    <w:rsid w:val="2D1E4F96"/>
    <w:rsid w:val="2D8868B3"/>
    <w:rsid w:val="2D99286E"/>
    <w:rsid w:val="2DF6381D"/>
    <w:rsid w:val="2E026666"/>
    <w:rsid w:val="30986E0D"/>
    <w:rsid w:val="311C7A3E"/>
    <w:rsid w:val="320A7897"/>
    <w:rsid w:val="32FA790B"/>
    <w:rsid w:val="341744ED"/>
    <w:rsid w:val="344F6675"/>
    <w:rsid w:val="36C30A02"/>
    <w:rsid w:val="372633C5"/>
    <w:rsid w:val="373D070E"/>
    <w:rsid w:val="3A443B62"/>
    <w:rsid w:val="3AA265AA"/>
    <w:rsid w:val="3B163750"/>
    <w:rsid w:val="3B8C57C0"/>
    <w:rsid w:val="3BDC18EE"/>
    <w:rsid w:val="3BF53366"/>
    <w:rsid w:val="3C9012E0"/>
    <w:rsid w:val="3EF67B21"/>
    <w:rsid w:val="3F397A0D"/>
    <w:rsid w:val="3F676329"/>
    <w:rsid w:val="3F6C393F"/>
    <w:rsid w:val="402D7572"/>
    <w:rsid w:val="40F510FD"/>
    <w:rsid w:val="41160006"/>
    <w:rsid w:val="437E6337"/>
    <w:rsid w:val="443B5FD6"/>
    <w:rsid w:val="478A52AA"/>
    <w:rsid w:val="484C255F"/>
    <w:rsid w:val="48822425"/>
    <w:rsid w:val="49282FCC"/>
    <w:rsid w:val="49DF720F"/>
    <w:rsid w:val="4A341372"/>
    <w:rsid w:val="4B9C204B"/>
    <w:rsid w:val="4C7601C0"/>
    <w:rsid w:val="4DD0778F"/>
    <w:rsid w:val="4E0A1360"/>
    <w:rsid w:val="4F0A0A7E"/>
    <w:rsid w:val="4FEC0AB5"/>
    <w:rsid w:val="5091122C"/>
    <w:rsid w:val="50DD28EE"/>
    <w:rsid w:val="528D5B84"/>
    <w:rsid w:val="52E333B6"/>
    <w:rsid w:val="532760A3"/>
    <w:rsid w:val="533C051F"/>
    <w:rsid w:val="54A059B8"/>
    <w:rsid w:val="54A8045F"/>
    <w:rsid w:val="5587107B"/>
    <w:rsid w:val="58132F58"/>
    <w:rsid w:val="594C1CCA"/>
    <w:rsid w:val="5A920D5A"/>
    <w:rsid w:val="5AD01297"/>
    <w:rsid w:val="5B157129"/>
    <w:rsid w:val="5B273E70"/>
    <w:rsid w:val="5BEF690A"/>
    <w:rsid w:val="5D3715D8"/>
    <w:rsid w:val="5DE967AC"/>
    <w:rsid w:val="5FC92290"/>
    <w:rsid w:val="615C33BC"/>
    <w:rsid w:val="63F20007"/>
    <w:rsid w:val="64FE2552"/>
    <w:rsid w:val="66B94E0C"/>
    <w:rsid w:val="673858FF"/>
    <w:rsid w:val="67694A84"/>
    <w:rsid w:val="68B43ADD"/>
    <w:rsid w:val="68E75CE9"/>
    <w:rsid w:val="693B7D5A"/>
    <w:rsid w:val="6A5135AE"/>
    <w:rsid w:val="6B6A0DCB"/>
    <w:rsid w:val="6C092392"/>
    <w:rsid w:val="6CAD6CB2"/>
    <w:rsid w:val="6D5E495F"/>
    <w:rsid w:val="6F2D45E9"/>
    <w:rsid w:val="712C147C"/>
    <w:rsid w:val="714300F4"/>
    <w:rsid w:val="73A155A6"/>
    <w:rsid w:val="76393874"/>
    <w:rsid w:val="77020109"/>
    <w:rsid w:val="77A80CB1"/>
    <w:rsid w:val="7A1C70DF"/>
    <w:rsid w:val="7A6D7B5F"/>
    <w:rsid w:val="7AA06FD5"/>
    <w:rsid w:val="7AF8785C"/>
    <w:rsid w:val="7CAF0A58"/>
    <w:rsid w:val="7CDD6F0B"/>
    <w:rsid w:val="7CF7272E"/>
    <w:rsid w:val="7DE46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3">
    <w:name w:val="heading 2"/>
    <w:basedOn w:val="1"/>
    <w:next w:val="1"/>
    <w:qFormat/>
    <w:uiPriority w:val="0"/>
    <w:pPr>
      <w:keepNext/>
      <w:keepLines/>
      <w:topLinePunct/>
      <w:adjustRightInd w:val="0"/>
      <w:snapToGrid w:val="0"/>
      <w:spacing w:beforeLines="80" w:afterLines="80"/>
      <w:outlineLvl w:val="1"/>
    </w:pPr>
    <w:rPr>
      <w:rFonts w:ascii="Arial" w:hAnsi="Arial" w:eastAsia="黑体"/>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1"/>
    <w:pPr>
      <w:spacing w:after="120"/>
    </w:pPr>
  </w:style>
  <w:style w:type="paragraph" w:styleId="4">
    <w:name w:val="Normal Indent"/>
    <w:basedOn w:val="1"/>
    <w:next w:val="1"/>
    <w:unhideWhenUsed/>
    <w:qFormat/>
    <w:uiPriority w:val="0"/>
    <w:pPr>
      <w:ind w:firstLine="420" w:firstLineChars="200"/>
    </w:pPr>
  </w:style>
  <w:style w:type="paragraph" w:styleId="5">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character" w:styleId="8">
    <w:name w:val="Hyperlink"/>
    <w:unhideWhenUsed/>
    <w:qFormat/>
    <w:uiPriority w:val="99"/>
    <w:rPr>
      <w:rFonts w:hint="default"/>
      <w:color w:val="0000FF"/>
      <w:sz w:val="24"/>
      <w:szCs w:val="24"/>
      <w:u w:val="single"/>
    </w:rPr>
  </w:style>
  <w:style w:type="paragraph" w:customStyle="1" w:styleId="9">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7887</Words>
  <Characters>8684</Characters>
  <Lines>0</Lines>
  <Paragraphs>0</Paragraphs>
  <TotalTime>1</TotalTime>
  <ScaleCrop>false</ScaleCrop>
  <LinksUpToDate>false</LinksUpToDate>
  <CharactersWithSpaces>8707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2024-08-27T01:02:00Z</dcterms:created>
  <dc:creator>Administrator</dc:creator>
  <cp:lastModifiedBy>WPS_1752132080</cp:lastModifiedBy>
  <dcterms:modified xsi:type="dcterms:W3CDTF">2026-08-26T09:07:53Z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868F3711D5A148BCBEF4999DE074E160_12</vt:lpwstr>
  </property>
  <property fmtid="{D5CDD505-2E9C-101B-9397-08002B2CF9AE}" pid="4" name="KSOTemplateDocerSaveRecord">
    <vt:lpwstr>eyJoZGlkIjoiM2I1MWI3NzBhYzgwN2JlYWIyMjQwNTc2OWU3ZjgyY2MiLCJ1c2VySWQiOiIxNzIwMTEzMTg0In0=</vt:lpwstr>
  </property>
</Properties>
</file>