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70A225">
      <w:pPr>
        <w:pStyle w:val="11"/>
        <w:shd w:val="clear"/>
        <w:spacing w:line="400" w:lineRule="exact"/>
        <w:rPr>
          <w:rFonts w:hint="eastAsia" w:ascii="黑体" w:hAnsi="黑体" w:eastAsia="黑体" w:cs="黑体"/>
          <w:b/>
          <w:bCs/>
          <w:color w:val="auto"/>
          <w:kern w:val="2"/>
          <w:sz w:val="24"/>
          <w:szCs w:val="24"/>
          <w:highlight w:val="none"/>
          <w:lang w:val="en-US"/>
        </w:rPr>
      </w:pPr>
      <w:bookmarkStart w:id="0" w:name="_GoBack"/>
      <w:bookmarkEnd w:id="0"/>
      <w:r>
        <w:rPr>
          <w:rFonts w:ascii="黑体" w:hAnsi="黑体" w:eastAsia="黑体" w:cs="黑体"/>
          <w:b/>
          <w:bCs/>
          <w:color w:val="auto"/>
          <w:kern w:val="2"/>
          <w:sz w:val="24"/>
          <w:szCs w:val="24"/>
          <w:highlight w:val="none"/>
          <w:lang w:val="en-US"/>
        </w:rPr>
        <w:t xml:space="preserve">附件 </w:t>
      </w:r>
      <w:r>
        <w:rPr>
          <w:rFonts w:hint="eastAsia" w:ascii="黑体" w:hAnsi="黑体" w:eastAsia="黑体" w:cs="黑体"/>
          <w:b/>
          <w:bCs/>
          <w:color w:val="auto"/>
          <w:kern w:val="2"/>
          <w:sz w:val="24"/>
          <w:szCs w:val="24"/>
          <w:highlight w:val="none"/>
          <w:lang w:val="en-US"/>
        </w:rPr>
        <w:t>招标公告附件</w:t>
      </w:r>
    </w:p>
    <w:p w14:paraId="6C41FECD">
      <w:pPr>
        <w:pStyle w:val="11"/>
        <w:shd w:val="clear"/>
        <w:spacing w:line="400" w:lineRule="exact"/>
        <w:rPr>
          <w:rFonts w:hint="default" w:ascii="黑体" w:hAnsi="黑体" w:eastAsia="黑体" w:cs="黑体"/>
          <w:b/>
          <w:bCs/>
          <w:color w:val="auto"/>
          <w:kern w:val="2"/>
          <w:sz w:val="24"/>
          <w:szCs w:val="24"/>
          <w:highlight w:val="none"/>
          <w:lang w:val="en-US" w:eastAsia="zh-CN"/>
        </w:rPr>
      </w:pPr>
      <w:r>
        <w:rPr>
          <w:rFonts w:hint="eastAsia" w:ascii="黑体" w:hAnsi="黑体" w:eastAsia="黑体" w:cs="黑体"/>
          <w:b/>
          <w:bCs/>
          <w:color w:val="auto"/>
          <w:kern w:val="2"/>
          <w:sz w:val="24"/>
          <w:szCs w:val="24"/>
          <w:highlight w:val="none"/>
          <w:lang w:val="en-US" w:eastAsia="zh-CN"/>
        </w:rPr>
        <w:t>分标一：线路设备维护劳务采购项目</w:t>
      </w:r>
    </w:p>
    <w:p w14:paraId="680D554D">
      <w:pPr>
        <w:pStyle w:val="11"/>
        <w:shd w:val="clear"/>
        <w:spacing w:line="400" w:lineRule="exact"/>
        <w:rPr>
          <w:rFonts w:hint="eastAsia" w:ascii="黑体" w:hAnsi="黑体" w:eastAsia="黑体" w:cs="黑体"/>
          <w:b/>
          <w:bCs/>
          <w:color w:val="auto"/>
          <w:kern w:val="2"/>
          <w:sz w:val="24"/>
          <w:szCs w:val="24"/>
          <w:highlight w:val="none"/>
          <w:lang w:val="en-US"/>
        </w:rPr>
      </w:pPr>
      <w:r>
        <w:rPr>
          <w:rFonts w:hint="eastAsia" w:ascii="黑体" w:hAnsi="黑体" w:eastAsia="黑体" w:cs="黑体"/>
          <w:b/>
          <w:bCs/>
          <w:color w:val="auto"/>
          <w:kern w:val="2"/>
          <w:sz w:val="24"/>
          <w:szCs w:val="24"/>
          <w:highlight w:val="none"/>
          <w:lang w:val="en-US" w:eastAsia="zh-CN"/>
        </w:rPr>
        <w:t>分标编号：CY0626SFWK68FZ01</w:t>
      </w:r>
    </w:p>
    <w:tbl>
      <w:tblPr>
        <w:tblStyle w:val="8"/>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6"/>
        <w:gridCol w:w="870"/>
        <w:gridCol w:w="737"/>
        <w:gridCol w:w="729"/>
        <w:gridCol w:w="706"/>
        <w:gridCol w:w="765"/>
        <w:gridCol w:w="2889"/>
        <w:gridCol w:w="5202"/>
        <w:gridCol w:w="1219"/>
      </w:tblGrid>
      <w:tr w14:paraId="6F44A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369" w:type="pct"/>
            <w:vAlign w:val="center"/>
          </w:tcPr>
          <w:p w14:paraId="5087FE4F">
            <w:pPr>
              <w:widowControl/>
              <w:shd w:val="clear"/>
              <w:jc w:val="center"/>
              <w:rPr>
                <w:rFonts w:ascii="仿宋" w:hAnsi="仿宋" w:eastAsia="仿宋" w:cs="Arial"/>
                <w:b/>
                <w:bCs/>
                <w:color w:val="auto"/>
                <w:kern w:val="0"/>
                <w:sz w:val="22"/>
                <w:szCs w:val="22"/>
                <w:highlight w:val="none"/>
              </w:rPr>
            </w:pPr>
            <w:r>
              <w:rPr>
                <w:rFonts w:hint="eastAsia" w:ascii="仿宋" w:hAnsi="仿宋" w:eastAsia="仿宋" w:cs="Arial"/>
                <w:b/>
                <w:bCs/>
                <w:color w:val="auto"/>
                <w:kern w:val="0"/>
                <w:sz w:val="22"/>
                <w:szCs w:val="22"/>
                <w:highlight w:val="none"/>
              </w:rPr>
              <w:t>项目名称</w:t>
            </w:r>
          </w:p>
        </w:tc>
        <w:tc>
          <w:tcPr>
            <w:tcW w:w="307" w:type="pct"/>
            <w:vAlign w:val="center"/>
          </w:tcPr>
          <w:p w14:paraId="0C3401A2">
            <w:pPr>
              <w:widowControl/>
              <w:shd w:val="clear"/>
              <w:jc w:val="center"/>
              <w:rPr>
                <w:rFonts w:ascii="仿宋" w:hAnsi="仿宋" w:eastAsia="仿宋" w:cs="Arial"/>
                <w:b/>
                <w:bCs/>
                <w:color w:val="auto"/>
                <w:kern w:val="0"/>
                <w:sz w:val="22"/>
                <w:szCs w:val="22"/>
                <w:highlight w:val="none"/>
              </w:rPr>
            </w:pPr>
            <w:r>
              <w:rPr>
                <w:rFonts w:hint="eastAsia" w:ascii="仿宋" w:hAnsi="仿宋" w:eastAsia="仿宋" w:cs="Arial"/>
                <w:b/>
                <w:bCs/>
                <w:color w:val="auto"/>
                <w:kern w:val="0"/>
                <w:sz w:val="22"/>
                <w:szCs w:val="22"/>
                <w:highlight w:val="none"/>
              </w:rPr>
              <w:t>服务内容</w:t>
            </w:r>
          </w:p>
        </w:tc>
        <w:tc>
          <w:tcPr>
            <w:tcW w:w="260" w:type="pct"/>
            <w:vAlign w:val="center"/>
          </w:tcPr>
          <w:p w14:paraId="422F4AAA">
            <w:pPr>
              <w:widowControl/>
              <w:shd w:val="clear"/>
              <w:jc w:val="center"/>
              <w:rPr>
                <w:rFonts w:ascii="仿宋" w:hAnsi="仿宋" w:eastAsia="仿宋" w:cs="Arial"/>
                <w:b/>
                <w:bCs/>
                <w:color w:val="auto"/>
                <w:kern w:val="0"/>
                <w:sz w:val="22"/>
                <w:szCs w:val="22"/>
                <w:highlight w:val="none"/>
              </w:rPr>
            </w:pPr>
            <w:r>
              <w:rPr>
                <w:rFonts w:hint="eastAsia" w:ascii="仿宋" w:hAnsi="仿宋" w:eastAsia="仿宋" w:cs="Arial"/>
                <w:b/>
                <w:bCs/>
                <w:color w:val="auto"/>
                <w:kern w:val="0"/>
                <w:sz w:val="22"/>
                <w:szCs w:val="22"/>
                <w:highlight w:val="none"/>
              </w:rPr>
              <w:t>数量</w:t>
            </w:r>
          </w:p>
        </w:tc>
        <w:tc>
          <w:tcPr>
            <w:tcW w:w="257" w:type="pct"/>
            <w:vAlign w:val="center"/>
          </w:tcPr>
          <w:p w14:paraId="2B50390C">
            <w:pPr>
              <w:widowControl/>
              <w:shd w:val="clear"/>
              <w:jc w:val="center"/>
              <w:rPr>
                <w:rFonts w:ascii="仿宋" w:hAnsi="仿宋" w:eastAsia="仿宋" w:cs="Arial"/>
                <w:b/>
                <w:bCs/>
                <w:color w:val="auto"/>
                <w:kern w:val="0"/>
                <w:sz w:val="22"/>
                <w:szCs w:val="22"/>
                <w:highlight w:val="none"/>
              </w:rPr>
            </w:pPr>
            <w:r>
              <w:rPr>
                <w:rFonts w:hint="eastAsia" w:ascii="仿宋" w:hAnsi="仿宋" w:eastAsia="仿宋" w:cs="Arial"/>
                <w:b/>
                <w:bCs/>
                <w:color w:val="auto"/>
                <w:kern w:val="0"/>
                <w:sz w:val="22"/>
                <w:szCs w:val="22"/>
                <w:highlight w:val="none"/>
              </w:rPr>
              <w:t>单位</w:t>
            </w:r>
          </w:p>
        </w:tc>
        <w:tc>
          <w:tcPr>
            <w:tcW w:w="249" w:type="pct"/>
            <w:vAlign w:val="center"/>
          </w:tcPr>
          <w:p w14:paraId="3FA93A4E">
            <w:pPr>
              <w:widowControl/>
              <w:shd w:val="clear"/>
              <w:jc w:val="center"/>
              <w:rPr>
                <w:rFonts w:ascii="仿宋" w:hAnsi="仿宋" w:eastAsia="仿宋" w:cs="Arial"/>
                <w:b/>
                <w:bCs/>
                <w:color w:val="auto"/>
                <w:kern w:val="0"/>
                <w:sz w:val="22"/>
                <w:szCs w:val="22"/>
                <w:highlight w:val="none"/>
              </w:rPr>
            </w:pPr>
            <w:r>
              <w:rPr>
                <w:rFonts w:hint="eastAsia" w:ascii="仿宋" w:hAnsi="仿宋" w:eastAsia="仿宋" w:cs="Arial"/>
                <w:b/>
                <w:bCs/>
                <w:color w:val="auto"/>
                <w:kern w:val="0"/>
                <w:sz w:val="22"/>
                <w:szCs w:val="22"/>
                <w:highlight w:val="none"/>
              </w:rPr>
              <w:t>工期</w:t>
            </w:r>
          </w:p>
        </w:tc>
        <w:tc>
          <w:tcPr>
            <w:tcW w:w="270" w:type="pct"/>
            <w:vAlign w:val="center"/>
          </w:tcPr>
          <w:p w14:paraId="5A2E9DF9">
            <w:pPr>
              <w:widowControl/>
              <w:shd w:val="clear"/>
              <w:jc w:val="center"/>
              <w:rPr>
                <w:rFonts w:ascii="仿宋" w:hAnsi="仿宋" w:eastAsia="仿宋" w:cs="Arial"/>
                <w:b/>
                <w:bCs/>
                <w:color w:val="auto"/>
                <w:kern w:val="0"/>
                <w:sz w:val="22"/>
                <w:szCs w:val="22"/>
                <w:highlight w:val="none"/>
              </w:rPr>
            </w:pPr>
            <w:r>
              <w:rPr>
                <w:rFonts w:hint="eastAsia" w:ascii="仿宋" w:hAnsi="仿宋" w:eastAsia="仿宋" w:cs="Arial"/>
                <w:b/>
                <w:bCs/>
                <w:color w:val="auto"/>
                <w:kern w:val="0"/>
                <w:sz w:val="22"/>
                <w:szCs w:val="22"/>
                <w:highlight w:val="none"/>
              </w:rPr>
              <w:t>质保期</w:t>
            </w:r>
          </w:p>
        </w:tc>
        <w:tc>
          <w:tcPr>
            <w:tcW w:w="1019" w:type="pct"/>
            <w:vAlign w:val="center"/>
          </w:tcPr>
          <w:p w14:paraId="1C35EF28">
            <w:pPr>
              <w:widowControl/>
              <w:shd w:val="clear"/>
              <w:jc w:val="center"/>
              <w:rPr>
                <w:rFonts w:hint="default" w:ascii="仿宋" w:hAnsi="仿宋" w:eastAsia="仿宋" w:cs="Arial"/>
                <w:b/>
                <w:bCs/>
                <w:color w:val="auto"/>
                <w:kern w:val="0"/>
                <w:sz w:val="22"/>
                <w:szCs w:val="22"/>
                <w:highlight w:val="none"/>
                <w:lang w:val="en-US" w:eastAsia="zh-CN"/>
              </w:rPr>
            </w:pPr>
            <w:r>
              <w:rPr>
                <w:rFonts w:hint="eastAsia" w:ascii="仿宋" w:hAnsi="仿宋" w:eastAsia="仿宋" w:cs="Arial"/>
                <w:b/>
                <w:bCs/>
                <w:color w:val="auto"/>
                <w:kern w:val="0"/>
                <w:sz w:val="22"/>
                <w:szCs w:val="22"/>
                <w:highlight w:val="none"/>
                <w:lang w:val="en-US" w:eastAsia="zh-CN"/>
              </w:rPr>
              <w:t>专用资质要求</w:t>
            </w:r>
          </w:p>
        </w:tc>
        <w:tc>
          <w:tcPr>
            <w:tcW w:w="1835" w:type="pct"/>
            <w:vAlign w:val="center"/>
          </w:tcPr>
          <w:p w14:paraId="170F5DD4">
            <w:pPr>
              <w:widowControl/>
              <w:shd w:val="clear"/>
              <w:jc w:val="center"/>
              <w:rPr>
                <w:rFonts w:hint="default" w:ascii="仿宋" w:hAnsi="仿宋" w:eastAsia="仿宋" w:cs="Arial"/>
                <w:b/>
                <w:bCs/>
                <w:color w:val="auto"/>
                <w:kern w:val="0"/>
                <w:sz w:val="22"/>
                <w:szCs w:val="22"/>
                <w:highlight w:val="none"/>
                <w:lang w:val="en-US" w:eastAsia="zh-CN"/>
              </w:rPr>
            </w:pPr>
            <w:r>
              <w:rPr>
                <w:rFonts w:hint="eastAsia" w:ascii="仿宋" w:hAnsi="仿宋" w:eastAsia="仿宋" w:cs="Arial"/>
                <w:b/>
                <w:bCs/>
                <w:color w:val="auto"/>
                <w:kern w:val="0"/>
                <w:sz w:val="22"/>
                <w:szCs w:val="22"/>
                <w:highlight w:val="none"/>
                <w:lang w:val="en-US" w:eastAsia="zh-CN"/>
              </w:rPr>
              <w:t>专用业绩要求</w:t>
            </w:r>
          </w:p>
        </w:tc>
        <w:tc>
          <w:tcPr>
            <w:tcW w:w="430" w:type="pct"/>
            <w:vAlign w:val="center"/>
          </w:tcPr>
          <w:p w14:paraId="69E23AD5">
            <w:pPr>
              <w:widowControl/>
              <w:shd w:val="clear"/>
              <w:jc w:val="center"/>
              <w:rPr>
                <w:rFonts w:hint="default" w:ascii="仿宋" w:hAnsi="仿宋" w:eastAsia="仿宋" w:cs="Arial"/>
                <w:b/>
                <w:bCs/>
                <w:color w:val="auto"/>
                <w:kern w:val="0"/>
                <w:sz w:val="22"/>
                <w:szCs w:val="22"/>
                <w:highlight w:val="none"/>
                <w:lang w:val="en-US" w:eastAsia="zh-CN"/>
              </w:rPr>
            </w:pPr>
            <w:r>
              <w:rPr>
                <w:rFonts w:hint="eastAsia" w:ascii="仿宋" w:hAnsi="仿宋" w:eastAsia="仿宋" w:cs="Arial"/>
                <w:b/>
                <w:bCs/>
                <w:color w:val="auto"/>
                <w:kern w:val="0"/>
                <w:sz w:val="22"/>
                <w:szCs w:val="22"/>
                <w:highlight w:val="none"/>
                <w:lang w:val="en-US" w:eastAsia="zh-CN"/>
              </w:rPr>
              <w:t>保证金金额（万元）</w:t>
            </w:r>
          </w:p>
        </w:tc>
      </w:tr>
      <w:tr w14:paraId="166DB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trPr>
        <w:tc>
          <w:tcPr>
            <w:tcW w:w="369" w:type="pct"/>
            <w:vAlign w:val="center"/>
          </w:tcPr>
          <w:p w14:paraId="4AE75295">
            <w:pPr>
              <w:widowControl/>
              <w:shd w:val="clear"/>
              <w:jc w:val="center"/>
              <w:rPr>
                <w:rFonts w:ascii="仿宋" w:hAnsi="仿宋" w:eastAsia="仿宋" w:cs="Arial"/>
                <w:bCs/>
                <w:color w:val="auto"/>
                <w:kern w:val="0"/>
                <w:sz w:val="22"/>
                <w:szCs w:val="22"/>
                <w:highlight w:val="none"/>
              </w:rPr>
            </w:pPr>
            <w:r>
              <w:rPr>
                <w:rFonts w:hint="eastAsia" w:ascii="仿宋" w:hAnsi="仿宋" w:eastAsia="仿宋"/>
                <w:color w:val="auto"/>
                <w:kern w:val="0"/>
                <w:sz w:val="24"/>
                <w:szCs w:val="24"/>
                <w:highlight w:val="none"/>
              </w:rPr>
              <w:t>线路设备维护劳务采购项目</w:t>
            </w:r>
          </w:p>
        </w:tc>
        <w:tc>
          <w:tcPr>
            <w:tcW w:w="307" w:type="pct"/>
            <w:vAlign w:val="center"/>
          </w:tcPr>
          <w:p w14:paraId="2757F559">
            <w:pPr>
              <w:widowControl/>
              <w:shd w:val="clear"/>
              <w:jc w:val="center"/>
              <w:rPr>
                <w:rFonts w:ascii="仿宋" w:hAnsi="仿宋" w:eastAsia="仿宋" w:cs="Arial"/>
                <w:bCs/>
                <w:color w:val="auto"/>
                <w:kern w:val="0"/>
                <w:sz w:val="22"/>
                <w:szCs w:val="22"/>
                <w:highlight w:val="none"/>
              </w:rPr>
            </w:pPr>
            <w:r>
              <w:rPr>
                <w:rFonts w:hint="eastAsia" w:ascii="仿宋" w:hAnsi="仿宋" w:eastAsia="仿宋" w:cs="Arial"/>
                <w:bCs/>
                <w:color w:val="auto"/>
                <w:kern w:val="0"/>
                <w:sz w:val="22"/>
                <w:szCs w:val="22"/>
                <w:highlight w:val="none"/>
              </w:rPr>
              <w:t>详见技术规范</w:t>
            </w:r>
          </w:p>
        </w:tc>
        <w:tc>
          <w:tcPr>
            <w:tcW w:w="260" w:type="pct"/>
            <w:vAlign w:val="center"/>
          </w:tcPr>
          <w:p w14:paraId="746C1B4A">
            <w:pPr>
              <w:widowControl/>
              <w:shd w:val="clear"/>
              <w:jc w:val="center"/>
              <w:rPr>
                <w:rFonts w:ascii="仿宋" w:hAnsi="仿宋" w:eastAsia="仿宋" w:cs="Arial"/>
                <w:bCs/>
                <w:color w:val="auto"/>
                <w:kern w:val="0"/>
                <w:sz w:val="22"/>
                <w:szCs w:val="22"/>
                <w:highlight w:val="none"/>
              </w:rPr>
            </w:pPr>
            <w:r>
              <w:rPr>
                <w:rFonts w:hint="eastAsia" w:ascii="仿宋" w:hAnsi="仿宋" w:eastAsia="仿宋" w:cs="Arial"/>
                <w:bCs/>
                <w:color w:val="auto"/>
                <w:kern w:val="0"/>
                <w:sz w:val="22"/>
                <w:szCs w:val="22"/>
                <w:highlight w:val="none"/>
              </w:rPr>
              <w:t>1200</w:t>
            </w:r>
          </w:p>
        </w:tc>
        <w:tc>
          <w:tcPr>
            <w:tcW w:w="257" w:type="pct"/>
            <w:vAlign w:val="center"/>
          </w:tcPr>
          <w:p w14:paraId="725FDC6B">
            <w:pPr>
              <w:widowControl/>
              <w:shd w:val="clear"/>
              <w:adjustRightInd w:val="0"/>
              <w:snapToGrid w:val="0"/>
              <w:jc w:val="center"/>
              <w:rPr>
                <w:rFonts w:ascii="仿宋" w:hAnsi="仿宋" w:eastAsia="仿宋" w:cs="Arial"/>
                <w:bCs/>
                <w:color w:val="auto"/>
                <w:kern w:val="0"/>
                <w:sz w:val="22"/>
                <w:szCs w:val="22"/>
                <w:highlight w:val="none"/>
              </w:rPr>
            </w:pPr>
            <w:r>
              <w:rPr>
                <w:rFonts w:hint="eastAsia" w:ascii="仿宋" w:hAnsi="仿宋" w:eastAsia="仿宋" w:cs="Arial"/>
                <w:bCs/>
                <w:color w:val="auto"/>
                <w:kern w:val="0"/>
                <w:sz w:val="22"/>
                <w:szCs w:val="22"/>
                <w:highlight w:val="none"/>
              </w:rPr>
              <w:t>工日</w:t>
            </w:r>
          </w:p>
        </w:tc>
        <w:tc>
          <w:tcPr>
            <w:tcW w:w="249" w:type="pct"/>
            <w:vAlign w:val="center"/>
          </w:tcPr>
          <w:p w14:paraId="6297DC7F">
            <w:pPr>
              <w:widowControl/>
              <w:shd w:val="clear"/>
              <w:adjustRightInd w:val="0"/>
              <w:snapToGrid w:val="0"/>
              <w:jc w:val="center"/>
              <w:rPr>
                <w:rFonts w:ascii="仿宋" w:hAnsi="仿宋" w:eastAsia="仿宋" w:cs="Arial"/>
                <w:bCs/>
                <w:color w:val="auto"/>
                <w:kern w:val="0"/>
                <w:sz w:val="22"/>
                <w:szCs w:val="22"/>
                <w:highlight w:val="none"/>
              </w:rPr>
            </w:pPr>
            <w:r>
              <w:rPr>
                <w:rFonts w:hint="eastAsia" w:ascii="仿宋" w:hAnsi="仿宋" w:eastAsia="仿宋" w:cs="Arial"/>
                <w:bCs/>
                <w:color w:val="auto"/>
                <w:kern w:val="0"/>
                <w:sz w:val="22"/>
                <w:szCs w:val="22"/>
                <w:highlight w:val="none"/>
              </w:rPr>
              <w:t>120日</w:t>
            </w:r>
          </w:p>
        </w:tc>
        <w:tc>
          <w:tcPr>
            <w:tcW w:w="270" w:type="pct"/>
            <w:vAlign w:val="center"/>
          </w:tcPr>
          <w:p w14:paraId="76F2D611">
            <w:pPr>
              <w:widowControl/>
              <w:shd w:val="clear"/>
              <w:jc w:val="center"/>
              <w:rPr>
                <w:rFonts w:ascii="仿宋" w:hAnsi="仿宋" w:eastAsia="仿宋" w:cs="Arial"/>
                <w:bCs/>
                <w:color w:val="auto"/>
                <w:kern w:val="0"/>
                <w:sz w:val="22"/>
                <w:szCs w:val="22"/>
                <w:highlight w:val="none"/>
              </w:rPr>
            </w:pPr>
            <w:r>
              <w:rPr>
                <w:rFonts w:hint="eastAsia" w:ascii="仿宋" w:hAnsi="仿宋" w:eastAsia="仿宋" w:cs="Arial"/>
                <w:bCs/>
                <w:color w:val="auto"/>
                <w:kern w:val="0"/>
                <w:sz w:val="22"/>
                <w:szCs w:val="22"/>
                <w:highlight w:val="none"/>
              </w:rPr>
              <w:t>/</w:t>
            </w:r>
          </w:p>
        </w:tc>
        <w:tc>
          <w:tcPr>
            <w:tcW w:w="1019" w:type="pct"/>
            <w:vAlign w:val="center"/>
          </w:tcPr>
          <w:p w14:paraId="212C1C60">
            <w:pPr>
              <w:widowControl/>
              <w:shd w:val="clear"/>
              <w:jc w:val="center"/>
              <w:rPr>
                <w:rFonts w:hint="eastAsia" w:ascii="仿宋" w:hAnsi="仿宋" w:eastAsia="仿宋" w:cs="Arial"/>
                <w:bCs/>
                <w:color w:val="auto"/>
                <w:kern w:val="0"/>
                <w:sz w:val="22"/>
                <w:szCs w:val="22"/>
                <w:highlight w:val="none"/>
                <w:lang w:val="en-US" w:eastAsia="zh-CN"/>
              </w:rPr>
            </w:pPr>
            <w:r>
              <w:rPr>
                <w:rFonts w:hint="eastAsia" w:ascii="仿宋" w:hAnsi="仿宋" w:eastAsia="仿宋" w:cs="Arial"/>
                <w:bCs/>
                <w:color w:val="auto"/>
                <w:kern w:val="0"/>
                <w:sz w:val="22"/>
                <w:szCs w:val="22"/>
                <w:highlight w:val="none"/>
                <w:lang w:val="en-US" w:eastAsia="zh-CN"/>
              </w:rPr>
              <w:t>1.</w:t>
            </w:r>
            <w:r>
              <w:rPr>
                <w:rFonts w:hint="eastAsia" w:ascii="仿宋" w:hAnsi="仿宋" w:eastAsia="仿宋" w:cs="宋体"/>
                <w:b/>
                <w:bCs/>
                <w:color w:val="auto"/>
                <w:kern w:val="0"/>
                <w:sz w:val="22"/>
                <w:szCs w:val="22"/>
                <w:highlight w:val="none"/>
              </w:rPr>
              <w:t>厂商要求</w:t>
            </w:r>
            <w:r>
              <w:rPr>
                <w:rFonts w:hint="eastAsia" w:ascii="仿宋" w:hAnsi="仿宋" w:eastAsia="仿宋" w:cs="宋体"/>
                <w:b/>
                <w:bCs/>
                <w:color w:val="auto"/>
                <w:kern w:val="0"/>
                <w:sz w:val="22"/>
                <w:szCs w:val="22"/>
                <w:highlight w:val="none"/>
                <w:lang w:eastAsia="zh-CN"/>
              </w:rPr>
              <w:t>：</w:t>
            </w:r>
            <w:r>
              <w:rPr>
                <w:rFonts w:hint="eastAsia" w:ascii="仿宋" w:hAnsi="仿宋" w:eastAsia="仿宋" w:cs="宋体"/>
                <w:color w:val="auto"/>
                <w:kern w:val="0"/>
                <w:sz w:val="22"/>
                <w:szCs w:val="22"/>
                <w:highlight w:val="none"/>
              </w:rPr>
              <w:t>服务商</w:t>
            </w:r>
            <w:r>
              <w:rPr>
                <w:rFonts w:hint="eastAsia" w:ascii="仿宋" w:hAnsi="仿宋" w:eastAsia="仿宋" w:cs="宋体"/>
                <w:color w:val="auto"/>
                <w:kern w:val="0"/>
                <w:sz w:val="22"/>
                <w:szCs w:val="22"/>
                <w:highlight w:val="none"/>
                <w:lang w:eastAsia="zh-CN"/>
              </w:rPr>
              <w:t>；</w:t>
            </w:r>
            <w:r>
              <w:rPr>
                <w:rFonts w:hint="eastAsia" w:ascii="仿宋" w:hAnsi="仿宋" w:eastAsia="仿宋" w:cs="宋体"/>
                <w:color w:val="auto"/>
                <w:kern w:val="0"/>
                <w:sz w:val="22"/>
                <w:szCs w:val="22"/>
                <w:highlight w:val="none"/>
                <w:lang w:val="en-US" w:eastAsia="zh-CN"/>
              </w:rPr>
              <w:t>2.</w:t>
            </w:r>
            <w:r>
              <w:rPr>
                <w:rFonts w:hint="eastAsia" w:ascii="仿宋" w:hAnsi="仿宋" w:eastAsia="仿宋" w:cs="宋体"/>
                <w:b/>
                <w:bCs/>
                <w:color w:val="auto"/>
                <w:kern w:val="0"/>
                <w:sz w:val="22"/>
                <w:szCs w:val="22"/>
                <w:highlight w:val="none"/>
              </w:rPr>
              <w:t>有效的资质等级证书</w:t>
            </w:r>
            <w:r>
              <w:rPr>
                <w:rFonts w:hint="eastAsia" w:ascii="仿宋" w:hAnsi="仿宋" w:eastAsia="仿宋" w:cs="宋体"/>
                <w:b/>
                <w:bCs/>
                <w:color w:val="auto"/>
                <w:kern w:val="0"/>
                <w:sz w:val="22"/>
                <w:szCs w:val="22"/>
                <w:highlight w:val="none"/>
                <w:lang w:eastAsia="zh-CN"/>
              </w:rPr>
              <w:t>：</w:t>
            </w:r>
            <w:r>
              <w:rPr>
                <w:rFonts w:hint="eastAsia" w:ascii="仿宋" w:hAnsi="仿宋" w:eastAsia="仿宋" w:cs="宋体"/>
                <w:color w:val="auto"/>
                <w:kern w:val="0"/>
                <w:sz w:val="22"/>
                <w:szCs w:val="22"/>
                <w:highlight w:val="none"/>
              </w:rPr>
              <w:t>提供有效的施工劳务不分等级证书</w:t>
            </w:r>
            <w:r>
              <w:rPr>
                <w:rFonts w:hint="eastAsia" w:ascii="仿宋" w:hAnsi="仿宋" w:eastAsia="仿宋" w:cs="宋体"/>
                <w:color w:val="auto"/>
                <w:kern w:val="0"/>
                <w:sz w:val="22"/>
                <w:szCs w:val="22"/>
                <w:highlight w:val="none"/>
                <w:lang w:eastAsia="zh-CN"/>
              </w:rPr>
              <w:t>；</w:t>
            </w:r>
            <w:r>
              <w:rPr>
                <w:rFonts w:hint="eastAsia" w:ascii="仿宋" w:hAnsi="仿宋" w:eastAsia="仿宋" w:cs="宋体"/>
                <w:color w:val="auto"/>
                <w:kern w:val="0"/>
                <w:sz w:val="22"/>
                <w:szCs w:val="22"/>
                <w:highlight w:val="none"/>
                <w:lang w:val="en-US" w:eastAsia="zh-CN"/>
              </w:rPr>
              <w:t>3.</w:t>
            </w:r>
            <w:r>
              <w:rPr>
                <w:rFonts w:hint="eastAsia" w:ascii="仿宋" w:hAnsi="仿宋" w:eastAsia="仿宋" w:cs="宋体"/>
                <w:b/>
                <w:bCs/>
                <w:color w:val="auto"/>
                <w:kern w:val="0"/>
                <w:sz w:val="22"/>
                <w:szCs w:val="22"/>
                <w:highlight w:val="none"/>
              </w:rPr>
              <w:t>配套人员需求</w:t>
            </w:r>
            <w:r>
              <w:rPr>
                <w:rFonts w:hint="eastAsia" w:ascii="仿宋" w:hAnsi="仿宋" w:eastAsia="仿宋" w:cs="宋体"/>
                <w:b/>
                <w:bCs/>
                <w:color w:val="auto"/>
                <w:kern w:val="0"/>
                <w:sz w:val="22"/>
                <w:szCs w:val="22"/>
                <w:highlight w:val="none"/>
                <w:lang w:eastAsia="zh-CN"/>
              </w:rPr>
              <w:t>：</w:t>
            </w:r>
            <w:r>
              <w:rPr>
                <w:rFonts w:hint="eastAsia" w:ascii="仿宋" w:hAnsi="仿宋" w:eastAsia="仿宋" w:cs="宋体"/>
                <w:color w:val="auto"/>
                <w:kern w:val="0"/>
                <w:sz w:val="22"/>
                <w:szCs w:val="22"/>
                <w:highlight w:val="none"/>
              </w:rPr>
              <w:t>提供不少于3人的高压电工证书，并提供该人员近三个月相应的社保证明</w:t>
            </w:r>
            <w:r>
              <w:rPr>
                <w:rFonts w:hint="eastAsia" w:ascii="仿宋" w:hAnsi="仿宋" w:eastAsia="仿宋" w:cs="宋体"/>
                <w:color w:val="auto"/>
                <w:kern w:val="0"/>
                <w:sz w:val="22"/>
                <w:szCs w:val="22"/>
                <w:highlight w:val="none"/>
                <w:lang w:eastAsia="zh-CN"/>
              </w:rPr>
              <w:t>。</w:t>
            </w:r>
          </w:p>
        </w:tc>
        <w:tc>
          <w:tcPr>
            <w:tcW w:w="1835" w:type="pct"/>
            <w:vAlign w:val="center"/>
          </w:tcPr>
          <w:p w14:paraId="19B0CF62">
            <w:pPr>
              <w:widowControl/>
              <w:shd w:val="clear"/>
              <w:jc w:val="center"/>
              <w:rPr>
                <w:rFonts w:hint="eastAsia" w:ascii="仿宋" w:hAnsi="仿宋" w:eastAsia="仿宋" w:cs="Arial"/>
                <w:bCs/>
                <w:color w:val="auto"/>
                <w:kern w:val="0"/>
                <w:sz w:val="22"/>
                <w:szCs w:val="22"/>
                <w:highlight w:val="none"/>
              </w:rPr>
            </w:pPr>
            <w:r>
              <w:rPr>
                <w:rFonts w:hint="eastAsia" w:ascii="仿宋" w:hAnsi="仿宋" w:eastAsia="仿宋" w:cs="宋体"/>
                <w:color w:val="auto"/>
                <w:kern w:val="0"/>
                <w:sz w:val="22"/>
                <w:szCs w:val="22"/>
                <w:highlight w:val="none"/>
              </w:rPr>
              <w:t>2023年1月1日至招标公告发布之日内，具有劳务服务类项目且累计销售业绩不少于1份。（</w:t>
            </w:r>
            <w:r>
              <w:rPr>
                <w:rFonts w:hint="eastAsia" w:ascii="方正仿宋_GBK" w:hAnsi="方正仿宋_GBK" w:eastAsia="方正仿宋_GBK" w:cs="方正仿宋_GBK"/>
                <w:color w:val="auto"/>
                <w:kern w:val="0"/>
                <w:sz w:val="24"/>
                <w:highlight w:val="none"/>
                <w:lang w:bidi="ar"/>
              </w:rPr>
              <w:t>时间以合同签订日期为准，须提供用户合同封面、金额页、合同签字盖章页复印件、证明合同内容的合同页、发票复印件、发票查验结果截图</w:t>
            </w:r>
            <w:r>
              <w:rPr>
                <w:rFonts w:hint="eastAsia" w:ascii="仿宋" w:hAnsi="仿宋" w:eastAsia="仿宋" w:cs="宋体"/>
                <w:color w:val="auto"/>
                <w:kern w:val="0"/>
                <w:sz w:val="22"/>
                <w:szCs w:val="22"/>
                <w:highlight w:val="none"/>
              </w:rPr>
              <w:t>）。</w:t>
            </w:r>
          </w:p>
        </w:tc>
        <w:tc>
          <w:tcPr>
            <w:tcW w:w="430" w:type="pct"/>
            <w:vAlign w:val="center"/>
          </w:tcPr>
          <w:p w14:paraId="7B25664F">
            <w:pPr>
              <w:widowControl/>
              <w:shd w:val="clear"/>
              <w:jc w:val="center"/>
              <w:rPr>
                <w:rFonts w:hint="default" w:ascii="仿宋" w:hAnsi="仿宋" w:eastAsia="仿宋" w:cs="Arial"/>
                <w:bCs/>
                <w:color w:val="auto"/>
                <w:kern w:val="0"/>
                <w:sz w:val="22"/>
                <w:szCs w:val="22"/>
                <w:highlight w:val="none"/>
                <w:lang w:val="en-US" w:eastAsia="zh-CN"/>
              </w:rPr>
            </w:pPr>
            <w:r>
              <w:rPr>
                <w:rFonts w:hint="eastAsia" w:ascii="仿宋" w:hAnsi="仿宋" w:eastAsia="仿宋" w:cs="Arial"/>
                <w:bCs/>
                <w:color w:val="auto"/>
                <w:kern w:val="0"/>
                <w:sz w:val="22"/>
                <w:szCs w:val="22"/>
                <w:highlight w:val="none"/>
                <w:lang w:val="en-US" w:eastAsia="zh-CN"/>
              </w:rPr>
              <w:t>0.8</w:t>
            </w:r>
          </w:p>
        </w:tc>
      </w:tr>
    </w:tbl>
    <w:p w14:paraId="11C48482">
      <w:pPr>
        <w:widowControl/>
        <w:shd w:val="clear"/>
        <w:jc w:val="left"/>
        <w:rPr>
          <w:b/>
          <w:color w:val="auto"/>
          <w:sz w:val="44"/>
          <w:highlight w:val="none"/>
        </w:rPr>
      </w:pPr>
      <w:r>
        <w:rPr>
          <w:rFonts w:hint="eastAsia" w:ascii="仿宋" w:hAnsi="仿宋" w:eastAsia="仿宋"/>
          <w:color w:val="auto"/>
          <w:sz w:val="22"/>
          <w:szCs w:val="22"/>
          <w:highlight w:val="none"/>
        </w:rPr>
        <w:t>具体服务不局限于上述需求一览表。应包括上述服务相关延伸服务及产品，类似升级服务及相关产品。</w:t>
      </w:r>
    </w:p>
    <w:p w14:paraId="71032518">
      <w:pPr>
        <w:shd w:val="clear"/>
        <w:rPr>
          <w:rFonts w:ascii="仿宋" w:hAnsi="仿宋" w:eastAsia="仿宋"/>
          <w:color w:val="auto"/>
          <w:sz w:val="22"/>
          <w:szCs w:val="22"/>
          <w:highlight w:val="none"/>
        </w:rPr>
      </w:pPr>
      <w:r>
        <w:rPr>
          <w:rFonts w:hint="eastAsia" w:ascii="仿宋" w:hAnsi="仿宋" w:eastAsia="仿宋"/>
          <w:color w:val="auto"/>
          <w:sz w:val="22"/>
          <w:szCs w:val="22"/>
          <w:highlight w:val="none"/>
        </w:rPr>
        <w:t>备注：</w:t>
      </w:r>
    </w:p>
    <w:p w14:paraId="20B2FCE3">
      <w:pPr>
        <w:shd w:val="clear"/>
        <w:rPr>
          <w:rFonts w:ascii="仿宋" w:hAnsi="仿宋" w:eastAsia="仿宋"/>
          <w:color w:val="auto"/>
          <w:sz w:val="22"/>
          <w:szCs w:val="22"/>
          <w:highlight w:val="none"/>
        </w:rPr>
      </w:pPr>
      <w:r>
        <w:rPr>
          <w:rFonts w:hint="eastAsia" w:ascii="仿宋" w:hAnsi="仿宋" w:eastAsia="仿宋"/>
          <w:color w:val="auto"/>
          <w:sz w:val="22"/>
          <w:szCs w:val="22"/>
          <w:highlight w:val="none"/>
        </w:rPr>
        <w:t>①.取得《国家电网有限公司集中规模招标采购供应商资质能力核实证明》（以下简称《核实证明》）的投标人，应按要求使用该《核实证明》。《核实证明》含有的业绩、试验报告不能满足招标文件要求的，需要提供满足要求的业绩、试验报告等证明材料；未取得《核实证明》的，投标人需要提供对应支持证明材料。</w:t>
      </w:r>
    </w:p>
    <w:p w14:paraId="0D9C5687">
      <w:pPr>
        <w:shd w:val="clear"/>
        <w:rPr>
          <w:rFonts w:ascii="仿宋" w:hAnsi="仿宋" w:eastAsia="仿宋"/>
          <w:color w:val="auto"/>
          <w:sz w:val="22"/>
          <w:szCs w:val="22"/>
          <w:highlight w:val="none"/>
        </w:rPr>
      </w:pPr>
      <w:r>
        <w:rPr>
          <w:rFonts w:hint="eastAsia" w:ascii="仿宋" w:hAnsi="仿宋" w:eastAsia="仿宋"/>
          <w:color w:val="auto"/>
          <w:sz w:val="22"/>
          <w:szCs w:val="22"/>
          <w:highlight w:val="none"/>
        </w:rPr>
        <w:t>②.投标文件中提供的证明材料复印件应复印清晰、可辨认且不得遮盖、涂抹，否则视为无效。</w:t>
      </w:r>
    </w:p>
    <w:p w14:paraId="41B02626">
      <w:pPr>
        <w:shd w:val="clear"/>
        <w:rPr>
          <w:rFonts w:ascii="仿宋" w:hAnsi="仿宋" w:eastAsia="仿宋"/>
          <w:color w:val="auto"/>
          <w:sz w:val="22"/>
          <w:szCs w:val="22"/>
          <w:highlight w:val="none"/>
        </w:rPr>
      </w:pPr>
      <w:r>
        <w:rPr>
          <w:rFonts w:hint="eastAsia" w:ascii="仿宋" w:hAnsi="仿宋" w:eastAsia="仿宋"/>
          <w:color w:val="auto"/>
          <w:sz w:val="22"/>
          <w:szCs w:val="22"/>
          <w:highlight w:val="none"/>
        </w:rPr>
        <w:t>③</w:t>
      </w:r>
      <w:r>
        <w:rPr>
          <w:rFonts w:ascii="仿宋" w:hAnsi="仿宋" w:eastAsia="仿宋"/>
          <w:color w:val="auto"/>
          <w:sz w:val="22"/>
          <w:szCs w:val="22"/>
          <w:highlight w:val="none"/>
        </w:rPr>
        <w:t>.</w:t>
      </w:r>
      <w:r>
        <w:rPr>
          <w:rFonts w:hint="eastAsia" w:ascii="仿宋" w:hAnsi="仿宋" w:eastAsia="仿宋"/>
          <w:color w:val="auto"/>
          <w:sz w:val="22"/>
          <w:szCs w:val="22"/>
          <w:highlight w:val="none"/>
        </w:rPr>
        <w:t>本批次采购业绩均应出具与项目建设单位直接签订并执行的合同关键部分（包括封面、合同协议书、签署页、承包范围（工作内容）及其它关键条款等）（转包、分包合同不予认可）和发票原件影印件（至少提供预付款、进度款、结算款三种发票中的一种，发票扫描件需清晰可辨，发票二维码区不得遮挡、涂抹，如因扫描件模糊无法查验真伪的，该业绩可能不被认可）作为支撑材料。</w:t>
      </w:r>
      <w:r>
        <w:rPr>
          <w:rFonts w:hint="eastAsia" w:ascii="仿宋" w:hAnsi="仿宋" w:eastAsia="仿宋"/>
          <w:b/>
          <w:bCs/>
          <w:color w:val="auto"/>
          <w:sz w:val="22"/>
          <w:szCs w:val="22"/>
          <w:highlight w:val="none"/>
        </w:rPr>
        <w:t>业绩认定时间</w:t>
      </w:r>
      <w:r>
        <w:rPr>
          <w:rFonts w:hint="eastAsia" w:ascii="仿宋" w:hAnsi="仿宋" w:eastAsia="仿宋"/>
          <w:color w:val="auto"/>
          <w:sz w:val="22"/>
          <w:szCs w:val="22"/>
          <w:highlight w:val="none"/>
        </w:rPr>
        <w:t>以合同签订时间为准，若合同无签署日期，且无其他可以证明合同签署日期的文件，则该项业绩无效。若合同上存在多个签署日期的，以最后一方签署的时间为准。</w:t>
      </w:r>
      <w:r>
        <w:rPr>
          <w:rFonts w:hint="eastAsia" w:ascii="仿宋" w:hAnsi="仿宋" w:eastAsia="仿宋"/>
          <w:b/>
          <w:bCs/>
          <w:color w:val="auto"/>
          <w:sz w:val="22"/>
          <w:szCs w:val="22"/>
          <w:highlight w:val="none"/>
        </w:rPr>
        <w:t>业绩认定金额或份数以合同和对应发票二者中的最少数额为准。</w:t>
      </w:r>
    </w:p>
    <w:p w14:paraId="57BD5043">
      <w:pPr>
        <w:shd w:val="clear"/>
        <w:rPr>
          <w:color w:val="auto"/>
          <w:highlight w:val="none"/>
        </w:rPr>
      </w:pPr>
      <w:r>
        <w:rPr>
          <w:rFonts w:hint="eastAsia" w:ascii="仿宋" w:hAnsi="仿宋" w:eastAsia="仿宋"/>
          <w:color w:val="auto"/>
          <w:sz w:val="22"/>
          <w:szCs w:val="22"/>
          <w:highlight w:val="none"/>
        </w:rPr>
        <w:t>④</w:t>
      </w:r>
      <w:r>
        <w:rPr>
          <w:rFonts w:ascii="仿宋" w:hAnsi="仿宋" w:eastAsia="仿宋"/>
          <w:color w:val="auto"/>
          <w:sz w:val="22"/>
          <w:szCs w:val="22"/>
          <w:highlight w:val="none"/>
        </w:rPr>
        <w:t>.</w:t>
      </w:r>
      <w:r>
        <w:rPr>
          <w:rFonts w:hint="eastAsia" w:ascii="仿宋" w:hAnsi="仿宋" w:eastAsia="仿宋"/>
          <w:color w:val="auto"/>
          <w:sz w:val="22"/>
          <w:szCs w:val="22"/>
          <w:highlight w:val="none"/>
        </w:rPr>
        <w:t>业绩发票影印件后须附通过</w:t>
      </w:r>
      <w:r>
        <w:rPr>
          <w:rFonts w:hint="eastAsia" w:ascii="仿宋" w:hAnsi="仿宋" w:eastAsia="仿宋"/>
          <w:b/>
          <w:bCs/>
          <w:color w:val="auto"/>
          <w:sz w:val="22"/>
          <w:szCs w:val="22"/>
          <w:highlight w:val="none"/>
        </w:rPr>
        <w:t>国家税务总局全国增值税发票查验平台</w:t>
      </w:r>
      <w:r>
        <w:rPr>
          <w:rFonts w:hint="eastAsia" w:ascii="仿宋" w:hAnsi="仿宋" w:eastAsia="仿宋"/>
          <w:color w:val="auto"/>
          <w:sz w:val="22"/>
          <w:szCs w:val="22"/>
          <w:highlight w:val="none"/>
        </w:rPr>
        <w:t>（网址：https://inv-veri.chinatax.gov.cn/）查验的发票结果截图，“一发票一截图”，发票开票日期不得晚于采购公告发布时间。未提供发票或未提供对应发票查验结果截图的或发票开标日期晚于采购公告发布时间的业绩不予认可。所有业绩支撑证明材料内容须保证清晰、可辨认且不得遮盖、涂抹。</w:t>
      </w:r>
    </w:p>
    <w:sectPr>
      <w:footerReference r:id="rId3"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35B9AC">
    <w:pPr>
      <w:pStyle w:val="4"/>
      <w:tabs>
        <w:tab w:val="center" w:pos="6979"/>
        <w:tab w:val="clear" w:pos="8306"/>
      </w:tabs>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097AA6E">
                          <w:pPr>
                            <w:pStyle w:val="4"/>
                          </w:pPr>
                          <w:r>
                            <w:fldChar w:fldCharType="begin"/>
                          </w:r>
                          <w:r>
                            <w:instrText xml:space="preserve"> PAGE  \* MERGEFORMAT </w:instrText>
                          </w:r>
                          <w:r>
                            <w:fldChar w:fldCharType="separate"/>
                          </w:r>
                          <w:r>
                            <w:t>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0097AA6E">
                    <w:pPr>
                      <w:pStyle w:val="4"/>
                    </w:pPr>
                    <w:r>
                      <w:fldChar w:fldCharType="begin"/>
                    </w:r>
                    <w:r>
                      <w:instrText xml:space="preserve"> PAGE  \* MERGEFORMAT </w:instrText>
                    </w:r>
                    <w:r>
                      <w:fldChar w:fldCharType="separate"/>
                    </w:r>
                    <w:r>
                      <w:t>2</w:t>
                    </w:r>
                    <w: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8420" cy="1397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58420" cy="139700"/>
                      </a:xfrm>
                      <a:prstGeom prst="rect">
                        <a:avLst/>
                      </a:prstGeom>
                      <a:noFill/>
                      <a:ln>
                        <a:noFill/>
                      </a:ln>
                      <a:effectLst/>
                    </wps:spPr>
                    <wps:txbx>
                      <w:txbxContent>
                        <w:p w14:paraId="58AAF37B">
                          <w:pPr>
                            <w:pStyle w:val="4"/>
                          </w:pP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1pt;width:4.6pt;mso-position-horizontal:center;mso-position-horizontal-relative:margin;mso-wrap-style:none;z-index:251659264;mso-width-relative:page;mso-height-relative:page;" filled="f" stroked="f" coordsize="21600,21600" o:gfxdata="UEsDBAoAAAAAAIdO4kAAAAAAAAAAAAAAAAAEAAAAZHJzL1BLAwQUAAAACACHTuJAy1u5d9AAAAAC&#10;AQAADwAAAGRycy9kb3ducmV2LnhtbE2PMU/DMBCFdyT+g3WV2KjdDFBCnA6VWNgoCInNja9xVPsc&#10;2W6a/HsOFlhOenpP733X7ObgxYQpD5E0bNYKBFIX7UC9ho/3l/stiFwMWeMjoYYFM+za25vG1DZe&#10;6Q2nQ+kFl1CujQZXylhLmTuHweR1HJHYO8UUTGGZemmTuXJ58LJS6kEGMxAvODPi3mF3PlyChsf5&#10;M+KYcY9fp6lLbli2/nXR+m61Uc8gCs7lLww/+IwOLTMd44VsFl4DP1J+L3tPFYijhqpSINtG/kdv&#10;vwFQSwMEFAAAAAgAh07iQOmC997TAQAApAMAAA4AAABkcnMvZTJvRG9jLnhtbK1TS27bMBDdF8gd&#10;CO5ryeovFSwHDYwUBYq2QJID0BRpEeAPHNqSL9DeoKtuuu+5fI4OKclp000W3UjDmdHje29Gq6vB&#10;aHIQAZSzDV0uSkqE5a5VdtfQ+7ub55eUQGS2ZdpZ0dCjAHq1vni26n0tKtc53YpAEMRC3fuGdjH6&#10;uiiAd8IwWDgvLBalC4ZFPIZd0QbWI7rRRVWWr4vehdYHxwUAZjdjkU6I4SmATkrFxcbxvRE2jqhB&#10;aBZREnTKA11ntlIKHj9LCSIS3VBUGvMTL8F4m57FesXqXWC+U3yiwJ5C4ZEmw5TFS89QGxYZ2Qf1&#10;D5RRPDhwMi64M8UoJDuCKpblI29uO+ZF1oJWgz+bDv8Pln86fAlEtQ2tKLHM4MBP37+dfvw6/fxK&#10;qmRP76HGrluPfXG4dgMuzZwHTCbVgwwmvVEPwTqaezybK4ZIOCZfXb6ssMCxsnzx9k2ZvS8evvUB&#10;4nvhDElBQwOOLjvKDh8hIg9snVvSVdbdKK3z+LT9K4GNY0bk+U9fJxkj3RTFYTtM2rauPaK0Hneg&#10;oRZXnhL9waLFaV3mIMzBdg72Pqhdh0SXmSX4d/uIlDLTdMMIi7TTAYeXBUyLlrbjz3Puevi51r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y1u5d9AAAAACAQAADwAAAAAAAAABACAAAAAiAAAAZHJz&#10;L2Rvd25yZXYueG1sUEsBAhQAFAAAAAgAh07iQOmC997TAQAApAMAAA4AAAAAAAAAAQAgAAAAHwEA&#10;AGRycy9lMm9Eb2MueG1sUEsFBgAAAAAGAAYAWQEAAGQFAAAAAA==&#10;">
              <v:fill on="f" focussize="0,0"/>
              <v:stroke on="f"/>
              <v:imagedata o:title=""/>
              <o:lock v:ext="edit" aspectratio="f"/>
              <v:textbox inset="0mm,0mm,0mm,0mm" style="mso-fit-shape-to-text:t;">
                <w:txbxContent>
                  <w:p w14:paraId="58AAF37B">
                    <w:pPr>
                      <w:pStyle w:val="4"/>
                    </w:pPr>
                  </w:p>
                </w:txbxContent>
              </v:textbox>
            </v:shape>
          </w:pict>
        </mc:Fallback>
      </mc:AlternateContent>
    </w:r>
    <w:r>
      <w:tab/>
    </w:r>
    <w:r>
      <w:tab/>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Y1MDU5YTZhN2I5NmNkYTlmODZjMTEyNGE1ZmU2ZDUifQ=="/>
  </w:docVars>
  <w:rsids>
    <w:rsidRoot w:val="00000000"/>
    <w:rsid w:val="06C74530"/>
    <w:rsid w:val="08E41D65"/>
    <w:rsid w:val="0A7D59FB"/>
    <w:rsid w:val="0EE13289"/>
    <w:rsid w:val="144B398A"/>
    <w:rsid w:val="19EA7F0D"/>
    <w:rsid w:val="216E6218"/>
    <w:rsid w:val="21BC068A"/>
    <w:rsid w:val="28982781"/>
    <w:rsid w:val="2A5C1303"/>
    <w:rsid w:val="3A4B5344"/>
    <w:rsid w:val="3C3025F0"/>
    <w:rsid w:val="3FC925C9"/>
    <w:rsid w:val="40FB111B"/>
    <w:rsid w:val="42706353"/>
    <w:rsid w:val="44C02BF0"/>
    <w:rsid w:val="4B4B2FA2"/>
    <w:rsid w:val="4D981108"/>
    <w:rsid w:val="5C863DFA"/>
    <w:rsid w:val="60D02126"/>
    <w:rsid w:val="60FE3125"/>
    <w:rsid w:val="616B7AA3"/>
    <w:rsid w:val="6B6D182A"/>
    <w:rsid w:val="727A7B45"/>
    <w:rsid w:val="7A432F13"/>
    <w:rsid w:val="7A7F0F4D"/>
    <w:rsid w:val="7B0A6E8C"/>
    <w:rsid w:val="7D2D3A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qFormat/>
    <w:uiPriority w:val="0"/>
    <w:pPr>
      <w:keepNext/>
      <w:keepLines/>
      <w:topLinePunct/>
      <w:adjustRightInd w:val="0"/>
      <w:snapToGrid w:val="0"/>
      <w:spacing w:beforeLines="80" w:afterLines="80"/>
      <w:outlineLvl w:val="1"/>
    </w:pPr>
    <w:rPr>
      <w:rFonts w:ascii="Arial" w:hAnsi="Arial" w:eastAsia="黑体"/>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Indent"/>
    <w:basedOn w:val="1"/>
    <w:qFormat/>
    <w:uiPriority w:val="0"/>
    <w:pPr>
      <w:spacing w:after="120"/>
      <w:ind w:left="420"/>
    </w:pPr>
    <w:rPr>
      <w:sz w:val="22"/>
    </w:r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List"/>
    <w:basedOn w:val="1"/>
    <w:qFormat/>
    <w:uiPriority w:val="0"/>
    <w:pPr>
      <w:ind w:left="200" w:hanging="200" w:hangingChars="200"/>
      <w:contextualSpacing/>
    </w:pPr>
  </w:style>
  <w:style w:type="paragraph" w:styleId="6">
    <w:name w:val="Body Text First Indent 2"/>
    <w:basedOn w:val="3"/>
    <w:next w:val="7"/>
    <w:qFormat/>
    <w:uiPriority w:val="0"/>
    <w:pPr>
      <w:ind w:firstLine="420"/>
    </w:pPr>
  </w:style>
  <w:style w:type="paragraph" w:customStyle="1" w:styleId="7">
    <w:name w:val="表格文字"/>
    <w:basedOn w:val="5"/>
    <w:next w:val="1"/>
    <w:qFormat/>
    <w:uiPriority w:val="0"/>
    <w:pPr>
      <w:ind w:firstLine="0" w:firstLineChars="0"/>
      <w:jc w:val="center"/>
    </w:pPr>
    <w:rPr>
      <w:szCs w:val="20"/>
    </w:rPr>
  </w:style>
  <w:style w:type="character" w:styleId="10">
    <w:name w:val="Hyperlink"/>
    <w:qFormat/>
    <w:uiPriority w:val="99"/>
    <w:rPr>
      <w:color w:val="0000FF"/>
      <w:u w:val="single"/>
    </w:rPr>
  </w:style>
  <w:style w:type="paragraph" w:customStyle="1" w:styleId="11">
    <w:name w:val="正文文本2"/>
    <w:basedOn w:val="1"/>
    <w:qFormat/>
    <w:uiPriority w:val="0"/>
    <w:pPr>
      <w:autoSpaceDE w:val="0"/>
      <w:autoSpaceDN w:val="0"/>
      <w:jc w:val="left"/>
    </w:pPr>
    <w:rPr>
      <w:rFonts w:ascii="宋体" w:hAnsi="宋体"/>
      <w:kern w:val="0"/>
      <w:sz w:val="20"/>
      <w:szCs w:val="21"/>
      <w:lang w:val="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4869</Words>
  <Characters>5474</Characters>
  <Lines>0</Lines>
  <Paragraphs>0</Paragraphs>
  <TotalTime>0</TotalTime>
  <ScaleCrop>false</ScaleCrop>
  <LinksUpToDate>false</LinksUpToDate>
  <CharactersWithSpaces>5488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2024-08-27T01:02:00Z</dcterms:created>
  <dc:creator>Administrator</dc:creator>
  <cp:lastModifiedBy>WPS_1752132080</cp:lastModifiedBy>
  <dcterms:modified xsi:type="dcterms:W3CDTF">2026-08-26T09:08:35Z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2CF7307234CD4474A459B6947D6D5DD7_12</vt:lpwstr>
  </property>
  <property fmtid="{D5CDD505-2E9C-101B-9397-08002B2CF9AE}" pid="4" name="KSOTemplateDocerSaveRecord">
    <vt:lpwstr>eyJoZGlkIjoiM2I1MWI3NzBhYzgwN2JlYWIyMjQwNTc2OWU3ZjgyY2MiLCJ1c2VySWQiOiIxNzIwMTEzMTg0In0=</vt:lpwstr>
  </property>
</Properties>
</file>