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r>
        <w:rPr>
          <w:rFonts w:hint="eastAsia" w:ascii="宋体" w:hAnsi="宋体" w:eastAsia="宋体" w:cs="宋体"/>
          <w:b/>
          <w:color w:val="auto"/>
          <w:kern w:val="2"/>
          <w:sz w:val="28"/>
          <w:szCs w:val="28"/>
          <w:highlight w:val="none"/>
          <w:lang w:val="en-US" w:bidi="en-US"/>
        </w:rPr>
        <w:t>招标公告附件</w:t>
      </w:r>
    </w:p>
    <w:bookmarkEnd w:id="0"/>
    <w:tbl>
      <w:tblPr>
        <w:tblStyle w:val="9"/>
        <w:tblW w:w="46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6"/>
        <w:gridCol w:w="1146"/>
        <w:gridCol w:w="4758"/>
        <w:gridCol w:w="1038"/>
        <w:gridCol w:w="864"/>
        <w:gridCol w:w="1215"/>
        <w:gridCol w:w="946"/>
        <w:gridCol w:w="1001"/>
        <w:gridCol w:w="1001"/>
      </w:tblGrid>
      <w:tr w14:paraId="4862D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blHeader/>
          <w:jc w:val="center"/>
        </w:trPr>
        <w:tc>
          <w:tcPr>
            <w:tcW w:w="454" w:type="pct"/>
            <w:vAlign w:val="center"/>
          </w:tcPr>
          <w:p w14:paraId="609F8E74">
            <w:pPr>
              <w:widowControl/>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项目名称</w:t>
            </w:r>
          </w:p>
        </w:tc>
        <w:tc>
          <w:tcPr>
            <w:tcW w:w="435" w:type="pct"/>
            <w:shd w:val="clear" w:color="auto" w:fill="auto"/>
            <w:vAlign w:val="center"/>
          </w:tcPr>
          <w:p w14:paraId="1C0D3ADA">
            <w:pPr>
              <w:widowControl/>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物资</w:t>
            </w:r>
            <w:r>
              <w:rPr>
                <w:rFonts w:hint="eastAsia" w:ascii="宋体" w:hAnsi="宋体" w:eastAsia="宋体" w:cs="宋体"/>
                <w:b/>
                <w:bCs/>
                <w:color w:val="auto"/>
                <w:kern w:val="0"/>
                <w:sz w:val="24"/>
                <w:szCs w:val="24"/>
                <w:highlight w:val="none"/>
              </w:rPr>
              <w:t>内容</w:t>
            </w:r>
          </w:p>
        </w:tc>
        <w:tc>
          <w:tcPr>
            <w:tcW w:w="1806" w:type="pct"/>
            <w:shd w:val="clear" w:color="auto" w:fill="auto"/>
            <w:vAlign w:val="center"/>
          </w:tcPr>
          <w:p w14:paraId="30A82BE1">
            <w:pPr>
              <w:widowControl/>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主要技术要求</w:t>
            </w:r>
          </w:p>
        </w:tc>
        <w:tc>
          <w:tcPr>
            <w:tcW w:w="394" w:type="pct"/>
            <w:shd w:val="clear" w:color="auto" w:fill="auto"/>
            <w:vAlign w:val="center"/>
          </w:tcPr>
          <w:p w14:paraId="654218E4">
            <w:pPr>
              <w:widowControl/>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单位</w:t>
            </w:r>
          </w:p>
        </w:tc>
        <w:tc>
          <w:tcPr>
            <w:tcW w:w="328" w:type="pct"/>
            <w:shd w:val="clear" w:color="auto" w:fill="auto"/>
            <w:vAlign w:val="center"/>
          </w:tcPr>
          <w:p w14:paraId="3DD6B50C">
            <w:pPr>
              <w:widowControl/>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数量</w:t>
            </w:r>
          </w:p>
        </w:tc>
        <w:tc>
          <w:tcPr>
            <w:tcW w:w="461" w:type="pct"/>
            <w:shd w:val="clear" w:color="auto" w:fill="FF0000"/>
            <w:vAlign w:val="center"/>
          </w:tcPr>
          <w:p w14:paraId="7014CE64">
            <w:pPr>
              <w:widowControl/>
              <w:jc w:val="center"/>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交货日期</w:t>
            </w:r>
          </w:p>
        </w:tc>
        <w:tc>
          <w:tcPr>
            <w:tcW w:w="359" w:type="pct"/>
            <w:shd w:val="clear" w:color="auto" w:fill="auto"/>
            <w:vAlign w:val="center"/>
          </w:tcPr>
          <w:p w14:paraId="1FD96C79">
            <w:pPr>
              <w:widowControl/>
              <w:jc w:val="center"/>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质保期</w:t>
            </w:r>
          </w:p>
        </w:tc>
        <w:tc>
          <w:tcPr>
            <w:tcW w:w="380" w:type="pct"/>
            <w:shd w:val="clear" w:color="auto" w:fill="auto"/>
            <w:vAlign w:val="center"/>
          </w:tcPr>
          <w:p w14:paraId="26B7E472">
            <w:pPr>
              <w:widowControl/>
              <w:jc w:val="center"/>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交货地点</w:t>
            </w:r>
          </w:p>
        </w:tc>
        <w:tc>
          <w:tcPr>
            <w:tcW w:w="380" w:type="pct"/>
            <w:shd w:val="clear" w:color="auto" w:fill="auto"/>
            <w:vAlign w:val="center"/>
          </w:tcPr>
          <w:p w14:paraId="388694C1">
            <w:pPr>
              <w:widowControl/>
              <w:jc w:val="center"/>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专用业绩要求</w:t>
            </w:r>
          </w:p>
        </w:tc>
      </w:tr>
      <w:tr w14:paraId="39196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4" w:type="pct"/>
            <w:vMerge w:val="restart"/>
            <w:vAlign w:val="center"/>
          </w:tcPr>
          <w:p w14:paraId="0D96E570">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多模态数据采集与智能导航控制组件等采购项目</w:t>
            </w:r>
          </w:p>
        </w:tc>
        <w:tc>
          <w:tcPr>
            <w:tcW w:w="435" w:type="pct"/>
            <w:shd w:val="clear" w:color="auto" w:fill="auto"/>
            <w:vAlign w:val="center"/>
          </w:tcPr>
          <w:p w14:paraId="54676530">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sz w:val="24"/>
                <w:szCs w:val="24"/>
                <w:highlight w:val="none"/>
              </w:rPr>
              <w:t>多模态数据采集装置组件</w:t>
            </w:r>
          </w:p>
        </w:tc>
        <w:tc>
          <w:tcPr>
            <w:tcW w:w="1806" w:type="pct"/>
            <w:shd w:val="clear" w:color="auto" w:fill="auto"/>
            <w:vAlign w:val="center"/>
          </w:tcPr>
          <w:p w14:paraId="1257B6FB">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RGB 分辨率≥1920×1080@30fps；</w:t>
            </w:r>
          </w:p>
          <w:p w14:paraId="4E937164">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深度分辨率≥1280×720@30fps；</w:t>
            </w:r>
          </w:p>
          <w:p w14:paraId="27BF0420">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深度测距0.4-8m；</w:t>
            </w:r>
          </w:p>
          <w:p w14:paraId="17382D05">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支持室内外环境深度输出；</w:t>
            </w:r>
          </w:p>
          <w:p w14:paraId="0E8BF3B0">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支持 HDR，具备硬件ISP图像加速；</w:t>
            </w:r>
            <w:r>
              <w:rPr>
                <w:rFonts w:hint="eastAsia" w:ascii="宋体" w:hAnsi="宋体" w:eastAsia="宋体" w:cs="宋体"/>
                <w:color w:val="000000"/>
                <w:sz w:val="24"/>
                <w:szCs w:val="24"/>
                <w:highlight w:val="none"/>
              </w:rPr>
              <w:t>集成三轴加速度计、三轴陀螺仪、三轴磁力计；</w:t>
            </w:r>
          </w:p>
          <w:p w14:paraId="6FBCE42D">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采样频率≥200Hz；</w:t>
            </w:r>
          </w:p>
          <w:p w14:paraId="47A00E25">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加速度量程±16g，陀螺仪量程±2000°/s</w:t>
            </w:r>
            <w:r>
              <w:rPr>
                <w:rFonts w:hint="eastAsia" w:ascii="宋体" w:hAnsi="宋体" w:eastAsia="宋体" w:cs="宋体"/>
                <w:color w:val="000000"/>
                <w:sz w:val="24"/>
                <w:szCs w:val="24"/>
                <w:highlight w:val="none"/>
                <w:lang w:eastAsia="zh-CN"/>
              </w:rPr>
              <w:t>；</w:t>
            </w:r>
          </w:p>
          <w:p w14:paraId="0F3D36DA">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sz w:val="24"/>
                <w:szCs w:val="24"/>
                <w:lang w:val="en-US" w:eastAsia="zh-CN"/>
              </w:rPr>
            </w:pPr>
            <w:r>
              <w:rPr>
                <w:rFonts w:hint="eastAsia" w:ascii="宋体" w:hAnsi="宋体" w:eastAsia="宋体" w:cs="宋体"/>
                <w:color w:val="000000"/>
                <w:sz w:val="24"/>
                <w:szCs w:val="24"/>
                <w:highlight w:val="none"/>
              </w:rPr>
              <w:t>具备硬件同步控制板，全部传感器实现亚毫秒级时间戳对齐，时间同步误差≤0.5ms</w:t>
            </w:r>
            <w:r>
              <w:rPr>
                <w:rFonts w:hint="eastAsia" w:ascii="宋体" w:hAnsi="宋体" w:eastAsia="宋体" w:cs="宋体"/>
                <w:color w:val="000000"/>
                <w:sz w:val="24"/>
                <w:szCs w:val="24"/>
                <w:highlight w:val="none"/>
                <w:lang w:eastAsia="zh-CN"/>
              </w:rPr>
              <w:t>。</w:t>
            </w:r>
          </w:p>
        </w:tc>
        <w:tc>
          <w:tcPr>
            <w:tcW w:w="394" w:type="pct"/>
            <w:shd w:val="clear" w:color="000000" w:fill="FFFFFF"/>
            <w:vAlign w:val="center"/>
          </w:tcPr>
          <w:p w14:paraId="7E4B4016">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rPr>
              <w:t>套</w:t>
            </w:r>
          </w:p>
        </w:tc>
        <w:tc>
          <w:tcPr>
            <w:tcW w:w="328" w:type="pct"/>
            <w:shd w:val="clear" w:color="000000" w:fill="FFFFFF"/>
            <w:vAlign w:val="center"/>
          </w:tcPr>
          <w:p w14:paraId="6CE6E014">
            <w:pPr>
              <w:widowControl/>
              <w:jc w:val="center"/>
              <w:textAlignment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sz w:val="24"/>
                <w:szCs w:val="24"/>
              </w:rPr>
              <w:t>1</w:t>
            </w:r>
          </w:p>
        </w:tc>
        <w:tc>
          <w:tcPr>
            <w:tcW w:w="461" w:type="pct"/>
            <w:shd w:val="clear" w:color="auto" w:fill="FF0000"/>
            <w:vAlign w:val="center"/>
          </w:tcPr>
          <w:p w14:paraId="64E0D628">
            <w:pPr>
              <w:widowControl/>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000000"/>
                <w:sz w:val="24"/>
                <w:szCs w:val="24"/>
              </w:rPr>
              <w:t>接到供货通知30日内</w:t>
            </w:r>
          </w:p>
        </w:tc>
        <w:tc>
          <w:tcPr>
            <w:tcW w:w="359" w:type="pct"/>
            <w:shd w:val="clear" w:color="auto" w:fill="auto"/>
            <w:vAlign w:val="center"/>
          </w:tcPr>
          <w:p w14:paraId="74DE479C">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1年</w:t>
            </w:r>
          </w:p>
        </w:tc>
        <w:tc>
          <w:tcPr>
            <w:tcW w:w="380" w:type="pct"/>
            <w:shd w:val="clear" w:color="auto" w:fill="auto"/>
            <w:vAlign w:val="center"/>
          </w:tcPr>
          <w:p w14:paraId="724E7E9E">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买方指定地点交货</w:t>
            </w:r>
          </w:p>
        </w:tc>
        <w:tc>
          <w:tcPr>
            <w:tcW w:w="380" w:type="pct"/>
            <w:vMerge w:val="restart"/>
            <w:shd w:val="clear" w:color="auto" w:fill="auto"/>
            <w:vAlign w:val="center"/>
          </w:tcPr>
          <w:p w14:paraId="646F10BD">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000000" w:themeColor="text1"/>
                <w:kern w:val="0"/>
                <w:sz w:val="24"/>
                <w:szCs w:val="24"/>
                <w14:textFill>
                  <w14:solidFill>
                    <w14:schemeClr w14:val="tx1"/>
                  </w14:solidFill>
                </w14:textFill>
              </w:rPr>
              <w:t>完成过与招标项目相类似的同等或以上技术要求的项目</w:t>
            </w:r>
            <w:r>
              <w:rPr>
                <w:rFonts w:hint="eastAsia" w:ascii="宋体" w:hAnsi="宋体" w:eastAsia="宋体" w:cs="宋体"/>
                <w:b/>
                <w:bCs/>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2023年1月1日至2025年12月31 日，完成过</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机器人组部件类</w:t>
            </w:r>
            <w:r>
              <w:rPr>
                <w:rFonts w:hint="eastAsia" w:ascii="宋体" w:hAnsi="宋体" w:eastAsia="宋体" w:cs="宋体"/>
                <w:color w:val="000000" w:themeColor="text1"/>
                <w:kern w:val="0"/>
                <w:sz w:val="24"/>
                <w:szCs w:val="24"/>
                <w14:textFill>
                  <w14:solidFill>
                    <w14:schemeClr w14:val="tx1"/>
                  </w14:solidFill>
                </w14:textFill>
              </w:rPr>
              <w:t>销售业绩不少于1份</w:t>
            </w: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合同金额不少于10万元</w:t>
            </w:r>
            <w:r>
              <w:rPr>
                <w:rFonts w:hint="eastAsia" w:ascii="宋体" w:hAnsi="宋体" w:eastAsia="宋体" w:cs="宋体"/>
                <w:color w:val="000000" w:themeColor="text1"/>
                <w:kern w:val="0"/>
                <w:sz w:val="24"/>
                <w:szCs w:val="24"/>
                <w14:textFill>
                  <w14:solidFill>
                    <w14:schemeClr w14:val="tx1"/>
                  </w14:solidFill>
                </w14:textFill>
              </w:rPr>
              <w:t>。注:业绩必须提供对应的合同复印件、发票和相应查验截图。</w:t>
            </w:r>
          </w:p>
        </w:tc>
      </w:tr>
      <w:tr w14:paraId="24197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4" w:type="pct"/>
            <w:vMerge w:val="continue"/>
            <w:vAlign w:val="center"/>
          </w:tcPr>
          <w:p w14:paraId="433438A0">
            <w:pPr>
              <w:widowControl/>
              <w:jc w:val="center"/>
              <w:rPr>
                <w:rFonts w:hint="eastAsia" w:ascii="宋体" w:hAnsi="宋体" w:eastAsia="宋体" w:cs="宋体"/>
                <w:color w:val="auto"/>
                <w:sz w:val="24"/>
                <w:szCs w:val="24"/>
                <w:highlight w:val="none"/>
                <w:lang w:val="en-US" w:eastAsia="zh-CN"/>
              </w:rPr>
            </w:pPr>
          </w:p>
        </w:tc>
        <w:tc>
          <w:tcPr>
            <w:tcW w:w="435" w:type="pct"/>
            <w:shd w:val="clear" w:color="auto" w:fill="auto"/>
            <w:vAlign w:val="center"/>
          </w:tcPr>
          <w:p w14:paraId="653E3EB3">
            <w:pPr>
              <w:widowControl/>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智能语义理解与交互组件</w:t>
            </w:r>
          </w:p>
        </w:tc>
        <w:tc>
          <w:tcPr>
            <w:tcW w:w="1806" w:type="pct"/>
            <w:shd w:val="clear" w:color="auto" w:fill="auto"/>
            <w:vAlign w:val="center"/>
          </w:tcPr>
          <w:p w14:paraId="70DBA99B">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支持远场拾音，4麦阵列，降噪算法，支持5米有效语音识别；</w:t>
            </w:r>
          </w:p>
          <w:p w14:paraId="3CCA7E1E">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支持本地+云端语音识别、语义解析、语音合成播报；</w:t>
            </w:r>
          </w:p>
          <w:p w14:paraId="765626A8">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输出接口：RJ45网口、RS485、USB3.0；</w:t>
            </w:r>
          </w:p>
          <w:p w14:paraId="7DE0C279">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内置扬声器，支持外接音频输出；</w:t>
            </w:r>
          </w:p>
          <w:p w14:paraId="7AF653AF">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支持自定义唤醒词，支持离线基础交互指令；</w:t>
            </w:r>
          </w:p>
          <w:p w14:paraId="6E147F79">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工作电压 DC12-24V，工作温度-10℃~+55℃；</w:t>
            </w:r>
          </w:p>
          <w:p w14:paraId="4AEA613C">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sz w:val="24"/>
                <w:szCs w:val="24"/>
                <w:lang w:val="en-US" w:eastAsia="zh-CN"/>
              </w:rPr>
            </w:pPr>
            <w:r>
              <w:rPr>
                <w:rFonts w:hint="eastAsia" w:ascii="宋体" w:hAnsi="宋体" w:eastAsia="宋体" w:cs="宋体"/>
                <w:color w:val="000000"/>
                <w:sz w:val="24"/>
                <w:szCs w:val="24"/>
                <w:highlight w:val="none"/>
                <w:lang w:val="en-US" w:eastAsia="zh-CN"/>
              </w:rPr>
              <w:t>可对接工控机完成指令交互联动。</w:t>
            </w:r>
          </w:p>
        </w:tc>
        <w:tc>
          <w:tcPr>
            <w:tcW w:w="394" w:type="pct"/>
            <w:shd w:val="clear" w:color="000000" w:fill="FFFFFF"/>
            <w:vAlign w:val="center"/>
          </w:tcPr>
          <w:p w14:paraId="5B9C2F9C">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rPr>
              <w:t>套</w:t>
            </w:r>
          </w:p>
        </w:tc>
        <w:tc>
          <w:tcPr>
            <w:tcW w:w="328" w:type="pct"/>
            <w:shd w:val="clear" w:color="000000" w:fill="FFFFFF"/>
            <w:vAlign w:val="center"/>
          </w:tcPr>
          <w:p w14:paraId="5621122A">
            <w:pPr>
              <w:widowControl/>
              <w:jc w:val="center"/>
              <w:textAlignment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sz w:val="24"/>
                <w:szCs w:val="24"/>
              </w:rPr>
              <w:t>1</w:t>
            </w:r>
          </w:p>
        </w:tc>
        <w:tc>
          <w:tcPr>
            <w:tcW w:w="461" w:type="pct"/>
            <w:shd w:val="clear" w:color="auto" w:fill="FF0000"/>
            <w:vAlign w:val="center"/>
          </w:tcPr>
          <w:p w14:paraId="5587E8DE">
            <w:pPr>
              <w:keepNext w:val="0"/>
              <w:keepLines w:val="0"/>
              <w:pageBreakBefore w:val="0"/>
              <w:widowControl/>
              <w:kinsoku/>
              <w:wordWrap/>
              <w:overflowPunct/>
              <w:topLinePunct w:val="0"/>
              <w:autoSpaceDE/>
              <w:autoSpaceDN/>
              <w:bidi w:val="0"/>
              <w:adjustRightInd/>
              <w:snapToGrid/>
              <w:spacing w:after="0" w:line="279"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sz w:val="24"/>
                <w:szCs w:val="24"/>
              </w:rPr>
              <w:t>接到供货通知30日内</w:t>
            </w:r>
          </w:p>
        </w:tc>
        <w:tc>
          <w:tcPr>
            <w:tcW w:w="359" w:type="pct"/>
            <w:shd w:val="clear" w:color="auto" w:fill="auto"/>
            <w:vAlign w:val="center"/>
          </w:tcPr>
          <w:p w14:paraId="1CDD1BFE">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1年</w:t>
            </w:r>
          </w:p>
        </w:tc>
        <w:tc>
          <w:tcPr>
            <w:tcW w:w="380" w:type="pct"/>
            <w:shd w:val="clear" w:color="auto" w:fill="auto"/>
            <w:vAlign w:val="center"/>
          </w:tcPr>
          <w:p w14:paraId="798400C1">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买方指定地点交货</w:t>
            </w:r>
          </w:p>
        </w:tc>
        <w:tc>
          <w:tcPr>
            <w:tcW w:w="380" w:type="pct"/>
            <w:vMerge w:val="continue"/>
            <w:shd w:val="clear" w:color="auto" w:fill="auto"/>
            <w:vAlign w:val="center"/>
          </w:tcPr>
          <w:p w14:paraId="474043D0">
            <w:pPr>
              <w:widowControl/>
              <w:jc w:val="center"/>
              <w:rPr>
                <w:rFonts w:hint="eastAsia" w:ascii="宋体" w:hAnsi="宋体" w:eastAsia="宋体" w:cs="宋体"/>
                <w:color w:val="auto"/>
                <w:sz w:val="24"/>
                <w:szCs w:val="24"/>
                <w:highlight w:val="none"/>
                <w:lang w:val="en-US" w:eastAsia="zh-CN"/>
              </w:rPr>
            </w:pPr>
          </w:p>
        </w:tc>
      </w:tr>
      <w:tr w14:paraId="3428A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4" w:type="pct"/>
            <w:vMerge w:val="continue"/>
            <w:vAlign w:val="center"/>
          </w:tcPr>
          <w:p w14:paraId="215D6755">
            <w:pPr>
              <w:widowControl/>
              <w:jc w:val="center"/>
              <w:rPr>
                <w:rFonts w:hint="eastAsia" w:ascii="宋体" w:hAnsi="宋体" w:eastAsia="宋体" w:cs="宋体"/>
                <w:color w:val="auto"/>
                <w:sz w:val="24"/>
                <w:szCs w:val="24"/>
                <w:highlight w:val="none"/>
                <w:lang w:val="en-US" w:eastAsia="zh-CN"/>
              </w:rPr>
            </w:pPr>
          </w:p>
        </w:tc>
        <w:tc>
          <w:tcPr>
            <w:tcW w:w="435" w:type="pct"/>
            <w:shd w:val="clear" w:color="auto" w:fill="auto"/>
            <w:vAlign w:val="center"/>
          </w:tcPr>
          <w:p w14:paraId="7591100D">
            <w:pPr>
              <w:widowControl/>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运动控制与总线通信组件</w:t>
            </w:r>
          </w:p>
        </w:tc>
        <w:tc>
          <w:tcPr>
            <w:tcW w:w="1806" w:type="pct"/>
            <w:shd w:val="clear" w:color="auto" w:fill="auto"/>
            <w:vAlign w:val="center"/>
          </w:tcPr>
          <w:p w14:paraId="693FA381">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运动方式：轮式差动驱动方式，驱动轮轴过底盘中心；</w:t>
            </w:r>
          </w:p>
          <w:p w14:paraId="4AB9E099">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最大运动速度≥1.5m/s；</w:t>
            </w:r>
          </w:p>
          <w:p w14:paraId="6F04FF86">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转弯方式：转弯半径为 0；</w:t>
            </w:r>
          </w:p>
          <w:p w14:paraId="30EEF8BD">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通信模式：具备双频无线网卡，兼容 802.11.b/g/n/ac 协议，支持2.4G/5G 双频段 WiFi；</w:t>
            </w:r>
          </w:p>
          <w:p w14:paraId="5E6AAAA2">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具备隔离型 RS485、CAN 总线、千兆以太网多协议通信接口；</w:t>
            </w:r>
          </w:p>
          <w:p w14:paraId="522CBF86">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工作电压 DC24V；</w:t>
            </w:r>
          </w:p>
          <w:p w14:paraId="613D4899">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工作范围-20℃~+60℃；</w:t>
            </w:r>
          </w:p>
          <w:p w14:paraId="078CE8DD">
            <w:pPr>
              <w:keepNext w:val="0"/>
              <w:keepLines w:val="0"/>
              <w:pageBreakBefore w:val="0"/>
              <w:widowControl/>
              <w:kinsoku/>
              <w:wordWrap/>
              <w:overflowPunct/>
              <w:topLinePunct w:val="0"/>
              <w:autoSpaceDE/>
              <w:autoSpaceDN/>
              <w:bidi w:val="0"/>
              <w:adjustRightInd/>
              <w:snapToGrid/>
              <w:spacing w:after="0" w:line="360" w:lineRule="exact"/>
              <w:textAlignment w:val="auto"/>
              <w:rPr>
                <w:rFonts w:hint="eastAsia" w:ascii="宋体" w:hAnsi="宋体" w:eastAsia="宋体" w:cs="宋体"/>
                <w:sz w:val="24"/>
                <w:szCs w:val="24"/>
                <w:lang w:val="en-US" w:eastAsia="zh-CN"/>
              </w:rPr>
            </w:pPr>
            <w:r>
              <w:rPr>
                <w:rFonts w:hint="eastAsia" w:ascii="宋体" w:hAnsi="宋体" w:eastAsia="宋体" w:cs="宋体"/>
                <w:color w:val="000000"/>
                <w:sz w:val="24"/>
                <w:szCs w:val="24"/>
                <w:highlight w:val="none"/>
                <w:lang w:val="en-US" w:eastAsia="zh-CN"/>
              </w:rPr>
              <w:t>具备EMC电磁隔离防护，适应机器人移动振动工况。</w:t>
            </w:r>
          </w:p>
        </w:tc>
        <w:tc>
          <w:tcPr>
            <w:tcW w:w="394" w:type="pct"/>
            <w:shd w:val="clear" w:color="000000" w:fill="FFFFFF"/>
            <w:vAlign w:val="center"/>
          </w:tcPr>
          <w:p w14:paraId="5859B19D">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rPr>
              <w:t>套</w:t>
            </w:r>
          </w:p>
        </w:tc>
        <w:tc>
          <w:tcPr>
            <w:tcW w:w="328" w:type="pct"/>
            <w:shd w:val="clear" w:color="000000" w:fill="FFFFFF"/>
            <w:vAlign w:val="center"/>
          </w:tcPr>
          <w:p w14:paraId="06341D49">
            <w:pPr>
              <w:widowControl/>
              <w:jc w:val="center"/>
              <w:textAlignment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sz w:val="24"/>
                <w:szCs w:val="24"/>
              </w:rPr>
              <w:t>1</w:t>
            </w:r>
          </w:p>
        </w:tc>
        <w:tc>
          <w:tcPr>
            <w:tcW w:w="461" w:type="pct"/>
            <w:shd w:val="clear" w:color="auto" w:fill="FF0000"/>
            <w:vAlign w:val="center"/>
          </w:tcPr>
          <w:p w14:paraId="22D68A39">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sz w:val="24"/>
                <w:szCs w:val="24"/>
              </w:rPr>
              <w:t>接到供货通知30日内</w:t>
            </w:r>
          </w:p>
        </w:tc>
        <w:tc>
          <w:tcPr>
            <w:tcW w:w="359" w:type="pct"/>
            <w:shd w:val="clear" w:color="auto" w:fill="auto"/>
            <w:vAlign w:val="center"/>
          </w:tcPr>
          <w:p w14:paraId="66D1C33D">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1年</w:t>
            </w:r>
          </w:p>
        </w:tc>
        <w:tc>
          <w:tcPr>
            <w:tcW w:w="380" w:type="pct"/>
            <w:shd w:val="clear" w:color="auto" w:fill="auto"/>
            <w:vAlign w:val="center"/>
          </w:tcPr>
          <w:p w14:paraId="5DACDF24">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买方指定地点交货</w:t>
            </w:r>
          </w:p>
        </w:tc>
        <w:tc>
          <w:tcPr>
            <w:tcW w:w="380" w:type="pct"/>
            <w:vMerge w:val="continue"/>
            <w:shd w:val="clear" w:color="auto" w:fill="auto"/>
            <w:vAlign w:val="center"/>
          </w:tcPr>
          <w:p w14:paraId="4E2CAC26">
            <w:pPr>
              <w:widowControl/>
              <w:jc w:val="center"/>
              <w:rPr>
                <w:rFonts w:hint="eastAsia" w:ascii="宋体" w:hAnsi="宋体" w:eastAsia="宋体" w:cs="宋体"/>
                <w:color w:val="auto"/>
                <w:sz w:val="24"/>
                <w:szCs w:val="24"/>
                <w:highlight w:val="none"/>
                <w:lang w:val="en-US" w:eastAsia="zh-CN"/>
              </w:rPr>
            </w:pPr>
          </w:p>
        </w:tc>
      </w:tr>
      <w:tr w14:paraId="70984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4" w:type="pct"/>
            <w:vMerge w:val="continue"/>
            <w:vAlign w:val="center"/>
          </w:tcPr>
          <w:p w14:paraId="16FCBDCA">
            <w:pPr>
              <w:widowControl/>
              <w:jc w:val="center"/>
              <w:rPr>
                <w:rFonts w:hint="eastAsia" w:ascii="宋体" w:hAnsi="宋体" w:eastAsia="宋体" w:cs="宋体"/>
                <w:color w:val="auto"/>
                <w:sz w:val="24"/>
                <w:szCs w:val="24"/>
                <w:highlight w:val="none"/>
                <w:lang w:val="en-US" w:eastAsia="zh-CN"/>
              </w:rPr>
            </w:pPr>
          </w:p>
        </w:tc>
        <w:tc>
          <w:tcPr>
            <w:tcW w:w="435" w:type="pct"/>
            <w:shd w:val="clear" w:color="auto" w:fill="auto"/>
            <w:vAlign w:val="center"/>
          </w:tcPr>
          <w:p w14:paraId="03642934">
            <w:pPr>
              <w:widowControl/>
              <w:jc w:val="lef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人工智能算力及控制主机</w:t>
            </w:r>
          </w:p>
        </w:tc>
        <w:tc>
          <w:tcPr>
            <w:tcW w:w="1806" w:type="pct"/>
            <w:shd w:val="clear" w:color="auto" w:fill="auto"/>
            <w:vAlign w:val="center"/>
          </w:tcPr>
          <w:p w14:paraId="3D0F2C16">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C</w:t>
            </w:r>
            <w:r>
              <w:rPr>
                <w:rFonts w:hint="eastAsia" w:ascii="宋体" w:hAnsi="宋体" w:eastAsia="宋体" w:cs="宋体"/>
                <w:color w:val="000000"/>
                <w:sz w:val="24"/>
                <w:szCs w:val="24"/>
                <w:highlight w:val="none"/>
                <w:lang w:val="en-US" w:eastAsia="zh-CN"/>
              </w:rPr>
              <w:t>PU:核心数≥四核，主频≥2.4GHz</w:t>
            </w:r>
          </w:p>
          <w:p w14:paraId="1777E1A6">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RAM≥8G；ROM≥64G ；</w:t>
            </w:r>
          </w:p>
          <w:p w14:paraId="27B7E0C6">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显示屏尺寸≥21.5英寸，分辨率≥1920×1080；</w:t>
            </w:r>
          </w:p>
          <w:p w14:paraId="07DBAB6D">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算力：集成独立 NPU 人工智能算力单元，INT8算力≥6TOPS，支持本地AI模型推理运算。具备边缘侧算力，支撑测算公式计算、文件解析、非结构化数据解析、图片识别解读、文字生成等 AI 服务；</w:t>
            </w:r>
          </w:p>
          <w:p w14:paraId="7BE4524A">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sz w:val="24"/>
                <w:szCs w:val="24"/>
                <w:lang w:val="en-US" w:eastAsia="zh-CN"/>
              </w:rPr>
            </w:pPr>
            <w:r>
              <w:rPr>
                <w:rFonts w:hint="eastAsia" w:ascii="宋体" w:hAnsi="宋体" w:eastAsia="宋体" w:cs="宋体"/>
                <w:color w:val="000000"/>
                <w:sz w:val="24"/>
                <w:szCs w:val="24"/>
                <w:highlight w:val="none"/>
              </w:rPr>
              <w:t>视频编解码能力</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支持8K视频编解码；内置4800万像素ISP，支持HDR、3A、3DNR等多种图像算法硬件加速 。其视频处理支持8K@60fpsH.265/VP9解码、8K@30fpsH.264编码及4K@60fpsAV1解码。</w:t>
            </w:r>
          </w:p>
        </w:tc>
        <w:tc>
          <w:tcPr>
            <w:tcW w:w="394" w:type="pct"/>
            <w:shd w:val="clear" w:color="000000" w:fill="FFFFFF"/>
            <w:vAlign w:val="center"/>
          </w:tcPr>
          <w:p w14:paraId="2597D889">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rPr>
              <w:t>套</w:t>
            </w:r>
          </w:p>
        </w:tc>
        <w:tc>
          <w:tcPr>
            <w:tcW w:w="328" w:type="pct"/>
            <w:shd w:val="clear" w:color="000000" w:fill="FFFFFF"/>
            <w:vAlign w:val="center"/>
          </w:tcPr>
          <w:p w14:paraId="3DA10053">
            <w:pPr>
              <w:widowControl/>
              <w:jc w:val="center"/>
              <w:textAlignment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sz w:val="24"/>
                <w:szCs w:val="24"/>
              </w:rPr>
              <w:t>1</w:t>
            </w:r>
          </w:p>
        </w:tc>
        <w:tc>
          <w:tcPr>
            <w:tcW w:w="461" w:type="pct"/>
            <w:shd w:val="clear" w:color="auto" w:fill="FF0000"/>
            <w:vAlign w:val="center"/>
          </w:tcPr>
          <w:p w14:paraId="6BC20CE1">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sz w:val="24"/>
                <w:szCs w:val="24"/>
              </w:rPr>
              <w:t>接到供货通知30日内</w:t>
            </w:r>
          </w:p>
        </w:tc>
        <w:tc>
          <w:tcPr>
            <w:tcW w:w="359" w:type="pct"/>
            <w:shd w:val="clear" w:color="auto" w:fill="auto"/>
            <w:vAlign w:val="center"/>
          </w:tcPr>
          <w:p w14:paraId="56E2CDF1">
            <w:pPr>
              <w:widowControl/>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1年</w:t>
            </w:r>
          </w:p>
        </w:tc>
        <w:tc>
          <w:tcPr>
            <w:tcW w:w="380" w:type="pct"/>
            <w:shd w:val="clear" w:color="auto" w:fill="auto"/>
            <w:vAlign w:val="center"/>
          </w:tcPr>
          <w:p w14:paraId="179FFC64">
            <w:pPr>
              <w:widowControl/>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买方指定地点交货</w:t>
            </w:r>
          </w:p>
        </w:tc>
        <w:tc>
          <w:tcPr>
            <w:tcW w:w="380" w:type="pct"/>
            <w:vMerge w:val="continue"/>
            <w:shd w:val="clear" w:color="auto" w:fill="auto"/>
            <w:vAlign w:val="center"/>
          </w:tcPr>
          <w:p w14:paraId="4BAB7212">
            <w:pPr>
              <w:widowControl/>
              <w:jc w:val="center"/>
              <w:rPr>
                <w:rFonts w:hint="eastAsia" w:ascii="宋体" w:hAnsi="宋体" w:eastAsia="宋体" w:cs="宋体"/>
                <w:color w:val="auto"/>
                <w:sz w:val="24"/>
                <w:szCs w:val="24"/>
                <w:highlight w:val="none"/>
                <w:lang w:val="en-US" w:eastAsia="zh-CN"/>
              </w:rPr>
            </w:pPr>
          </w:p>
        </w:tc>
      </w:tr>
      <w:tr w14:paraId="059A1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54" w:type="pct"/>
            <w:vMerge w:val="continue"/>
            <w:vAlign w:val="center"/>
          </w:tcPr>
          <w:p w14:paraId="18A75A5B">
            <w:pPr>
              <w:widowControl/>
              <w:jc w:val="center"/>
              <w:rPr>
                <w:rFonts w:hint="eastAsia" w:ascii="宋体" w:hAnsi="宋体" w:eastAsia="宋体" w:cs="宋体"/>
                <w:color w:val="auto"/>
                <w:sz w:val="24"/>
                <w:szCs w:val="24"/>
                <w:highlight w:val="none"/>
                <w:lang w:val="en-US" w:eastAsia="zh-CN"/>
              </w:rPr>
            </w:pPr>
          </w:p>
        </w:tc>
        <w:tc>
          <w:tcPr>
            <w:tcW w:w="435" w:type="pct"/>
            <w:shd w:val="clear" w:color="auto" w:fill="auto"/>
            <w:vAlign w:val="center"/>
          </w:tcPr>
          <w:p w14:paraId="2A10F3D6">
            <w:pPr>
              <w:widowControl/>
              <w:jc w:val="lef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三维激光雷达组件</w:t>
            </w:r>
          </w:p>
        </w:tc>
        <w:tc>
          <w:tcPr>
            <w:tcW w:w="1806" w:type="pct"/>
            <w:shd w:val="clear" w:color="auto" w:fill="auto"/>
            <w:vAlign w:val="center"/>
          </w:tcPr>
          <w:p w14:paraId="207EE508">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激光雷达扫描测距</w:t>
            </w:r>
            <w:r>
              <w:rPr>
                <w:rFonts w:hint="eastAsia" w:ascii="宋体" w:hAnsi="宋体" w:eastAsia="宋体" w:cs="宋体"/>
                <w:color w:val="000000"/>
                <w:sz w:val="24"/>
                <w:szCs w:val="24"/>
                <w:highlight w:val="none"/>
                <w:lang w:val="en-US" w:eastAsia="zh-CN"/>
              </w:rPr>
              <w:t>≥40</w:t>
            </w:r>
            <w:r>
              <w:rPr>
                <w:rFonts w:hint="eastAsia" w:ascii="宋体" w:hAnsi="宋体" w:eastAsia="宋体" w:cs="宋体"/>
                <w:color w:val="000000"/>
                <w:sz w:val="24"/>
                <w:szCs w:val="24"/>
                <w:highlight w:val="none"/>
              </w:rPr>
              <w:t>米</w:t>
            </w:r>
            <w:r>
              <w:rPr>
                <w:rFonts w:hint="eastAsia" w:ascii="宋体" w:hAnsi="宋体" w:eastAsia="宋体" w:cs="宋体"/>
                <w:color w:val="000000"/>
                <w:sz w:val="24"/>
                <w:szCs w:val="24"/>
                <w:highlight w:val="none"/>
                <w:lang w:eastAsia="zh-CN"/>
              </w:rPr>
              <w:t>，测距精度≤±3cm。</w:t>
            </w:r>
          </w:p>
          <w:p w14:paraId="0F3E1E2D">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水平视场360°，垂直视场≥30°；</w:t>
            </w:r>
          </w:p>
          <w:p w14:paraId="5833E046">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点云输出速率≥30万点/秒；</w:t>
            </w:r>
          </w:p>
          <w:p w14:paraId="137EA6D0">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以太网输出点云数据，支持障碍物检测、环境建图定位；</w:t>
            </w:r>
          </w:p>
          <w:p w14:paraId="012A1343">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防护等级≥IP65；</w:t>
            </w:r>
          </w:p>
          <w:p w14:paraId="30E0AAB7">
            <w:pPr>
              <w:keepNext w:val="0"/>
              <w:keepLines w:val="0"/>
              <w:pageBreakBefore w:val="0"/>
              <w:widowControl/>
              <w:kinsoku/>
              <w:wordWrap/>
              <w:overflowPunct/>
              <w:topLinePunct w:val="0"/>
              <w:autoSpaceDE/>
              <w:autoSpaceDN/>
              <w:bidi w:val="0"/>
              <w:adjustRightInd/>
              <w:snapToGrid/>
              <w:spacing w:after="0" w:line="360" w:lineRule="exact"/>
              <w:jc w:val="left"/>
              <w:textAlignment w:val="auto"/>
              <w:rPr>
                <w:rFonts w:hint="eastAsia" w:ascii="宋体" w:hAnsi="宋体" w:eastAsia="宋体" w:cs="宋体"/>
                <w:sz w:val="24"/>
                <w:szCs w:val="24"/>
                <w:lang w:val="en-US" w:eastAsia="zh-CN"/>
              </w:rPr>
            </w:pPr>
            <w:r>
              <w:rPr>
                <w:rFonts w:hint="eastAsia" w:ascii="宋体" w:hAnsi="宋体" w:eastAsia="宋体" w:cs="宋体"/>
                <w:color w:val="000000"/>
                <w:sz w:val="24"/>
                <w:szCs w:val="24"/>
                <w:highlight w:val="none"/>
                <w:lang w:val="en-US" w:eastAsia="zh-CN"/>
              </w:rPr>
              <w:t>工作温度-20℃~+60℃，实现 SLAM 建图导航。</w:t>
            </w:r>
          </w:p>
        </w:tc>
        <w:tc>
          <w:tcPr>
            <w:tcW w:w="394" w:type="pct"/>
            <w:shd w:val="clear" w:color="000000" w:fill="FFFFFF"/>
            <w:vAlign w:val="center"/>
          </w:tcPr>
          <w:p w14:paraId="2BE1A871">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rPr>
              <w:t>套</w:t>
            </w:r>
          </w:p>
        </w:tc>
        <w:tc>
          <w:tcPr>
            <w:tcW w:w="328" w:type="pct"/>
            <w:shd w:val="clear" w:color="000000" w:fill="FFFFFF"/>
            <w:vAlign w:val="center"/>
          </w:tcPr>
          <w:p w14:paraId="440FFC98">
            <w:pPr>
              <w:widowControl/>
              <w:jc w:val="center"/>
              <w:textAlignment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sz w:val="24"/>
                <w:szCs w:val="24"/>
                <w:lang w:val="en-US" w:eastAsia="zh-CN"/>
              </w:rPr>
              <w:t>1</w:t>
            </w:r>
          </w:p>
        </w:tc>
        <w:tc>
          <w:tcPr>
            <w:tcW w:w="461" w:type="pct"/>
            <w:shd w:val="clear" w:color="auto" w:fill="FF0000"/>
            <w:vAlign w:val="center"/>
          </w:tcPr>
          <w:p w14:paraId="1145C05B">
            <w:pPr>
              <w:widowControl/>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sz w:val="24"/>
                <w:szCs w:val="24"/>
              </w:rPr>
              <w:t>接到供货通知30日内</w:t>
            </w:r>
          </w:p>
        </w:tc>
        <w:tc>
          <w:tcPr>
            <w:tcW w:w="359" w:type="pct"/>
            <w:shd w:val="clear" w:color="auto" w:fill="auto"/>
            <w:vAlign w:val="center"/>
          </w:tcPr>
          <w:p w14:paraId="30214CE5">
            <w:pPr>
              <w:widowControl/>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1年</w:t>
            </w:r>
          </w:p>
        </w:tc>
        <w:tc>
          <w:tcPr>
            <w:tcW w:w="380" w:type="pct"/>
            <w:shd w:val="clear" w:color="auto" w:fill="auto"/>
            <w:vAlign w:val="center"/>
          </w:tcPr>
          <w:p w14:paraId="1460BBB6">
            <w:pPr>
              <w:widowControl/>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买方指定地点交货</w:t>
            </w:r>
          </w:p>
        </w:tc>
        <w:tc>
          <w:tcPr>
            <w:tcW w:w="380" w:type="pct"/>
            <w:vMerge w:val="continue"/>
            <w:shd w:val="clear" w:color="auto" w:fill="auto"/>
            <w:vAlign w:val="center"/>
          </w:tcPr>
          <w:p w14:paraId="34367E77">
            <w:pPr>
              <w:widowControl/>
              <w:jc w:val="center"/>
              <w:rPr>
                <w:rFonts w:hint="eastAsia" w:ascii="宋体" w:hAnsi="宋体" w:eastAsia="宋体" w:cs="宋体"/>
                <w:color w:val="auto"/>
                <w:sz w:val="24"/>
                <w:szCs w:val="24"/>
                <w:highlight w:val="none"/>
                <w:lang w:val="en-US" w:eastAsia="zh-CN"/>
              </w:rPr>
            </w:pPr>
          </w:p>
        </w:tc>
      </w:tr>
    </w:tbl>
    <w:p w14:paraId="77429970">
      <w:pPr>
        <w:keepNext w:val="0"/>
        <w:keepLines w:val="0"/>
        <w:pageBreakBefore w:val="0"/>
        <w:widowControl w:val="0"/>
        <w:shd w:val="clear"/>
        <w:kinsoku/>
        <w:wordWrap/>
        <w:overflowPunct/>
        <w:topLinePunct w:val="0"/>
        <w:bidi w:val="0"/>
        <w:adjustRightInd w:val="0"/>
        <w:snapToGrid w:val="0"/>
        <w:spacing w:after="0" w:line="400" w:lineRule="exact"/>
        <w:jc w:val="both"/>
        <w:textAlignment w:val="auto"/>
        <w:rPr>
          <w:rFonts w:hint="eastAsia" w:ascii="宋体" w:hAnsi="宋体" w:eastAsia="宋体" w:cs="宋体"/>
          <w:color w:val="auto"/>
          <w:kern w:val="2"/>
          <w:sz w:val="21"/>
          <w:szCs w:val="21"/>
          <w:highlight w:val="none"/>
          <w:lang w:eastAsia="zh-CN" w:bidi="ar-SA"/>
        </w:rPr>
      </w:pPr>
    </w:p>
    <w:p w14:paraId="3C1D479B">
      <w:pPr>
        <w:pStyle w:val="13"/>
        <w:numPr>
          <w:ilvl w:val="0"/>
          <w:numId w:val="0"/>
        </w:numPr>
        <w:spacing w:line="240" w:lineRule="auto"/>
        <w:ind w:leftChars="-170" w:firstLine="480" w:firstLineChars="200"/>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具体供货不局限于上述产品。应包括上述产品相关配件，类似升级产品</w:t>
      </w:r>
      <w:r>
        <w:rPr>
          <w:rFonts w:hint="eastAsia" w:ascii="宋体" w:hAnsi="宋体" w:eastAsia="宋体" w:cs="宋体"/>
          <w:color w:val="000000" w:themeColor="text1"/>
          <w:sz w:val="24"/>
          <w:szCs w:val="24"/>
          <w:lang w:eastAsia="zh-CN"/>
          <w14:textFill>
            <w14:solidFill>
              <w14:schemeClr w14:val="tx1"/>
            </w14:solidFill>
          </w14:textFill>
        </w:rPr>
        <w:t>。</w:t>
      </w:r>
    </w:p>
    <w:p w14:paraId="3E0D29CB">
      <w:pPr>
        <w:keepNext w:val="0"/>
        <w:keepLines w:val="0"/>
        <w:pageBreakBefore w:val="0"/>
        <w:widowControl w:val="0"/>
        <w:shd w:val="clear"/>
        <w:kinsoku/>
        <w:wordWrap/>
        <w:overflowPunct/>
        <w:topLinePunct w:val="0"/>
        <w:bidi w:val="0"/>
        <w:adjustRightInd w:val="0"/>
        <w:snapToGrid w:val="0"/>
        <w:spacing w:after="0" w:line="400" w:lineRule="exact"/>
        <w:jc w:val="both"/>
        <w:textAlignment w:val="auto"/>
        <w:rPr>
          <w:rFonts w:hint="eastAsia" w:ascii="宋体" w:hAnsi="宋体" w:eastAsia="宋体" w:cs="宋体"/>
          <w:color w:val="auto"/>
          <w:kern w:val="2"/>
          <w:sz w:val="21"/>
          <w:szCs w:val="21"/>
          <w:highlight w:val="none"/>
          <w:lang w:eastAsia="zh-CN" w:bidi="ar-SA"/>
        </w:rPr>
      </w:pPr>
    </w:p>
    <w:p w14:paraId="09BE11FD">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备注：</w:t>
      </w: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3F488AF5">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421E3FB6">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771B68"/>
    <w:rsid w:val="02FB6D7F"/>
    <w:rsid w:val="07AF45F8"/>
    <w:rsid w:val="1F4B3000"/>
    <w:rsid w:val="247A4BEB"/>
    <w:rsid w:val="2C421729"/>
    <w:rsid w:val="2D8E1F1A"/>
    <w:rsid w:val="34C07164"/>
    <w:rsid w:val="37DC3A83"/>
    <w:rsid w:val="37EB7469"/>
    <w:rsid w:val="39333B77"/>
    <w:rsid w:val="47A75132"/>
    <w:rsid w:val="4A5767AB"/>
    <w:rsid w:val="4D8E4A5C"/>
    <w:rsid w:val="51D14780"/>
    <w:rsid w:val="525E5C4F"/>
    <w:rsid w:val="55AA3239"/>
    <w:rsid w:val="58B64DDB"/>
    <w:rsid w:val="60601D56"/>
    <w:rsid w:val="77A61258"/>
    <w:rsid w:val="799314ED"/>
    <w:rsid w:val="7C1E1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6226</Words>
  <Characters>7003</Characters>
  <Lines>0</Lines>
  <Paragraphs>0</Paragraphs>
  <TotalTime>6</TotalTime>
  <ScaleCrop>false</ScaleCrop>
  <LinksUpToDate>false</LinksUpToDate>
  <CharactersWithSpaces>7042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WPS_1555299874</cp:lastModifiedBy>
  <dcterms:modified xsi:type="dcterms:W3CDTF">2026-08-26T11:15:42Z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39B085A9EFEE4A77B5C86FD0F25F73CD_11</vt:lpwstr>
  </property>
  <property fmtid="{D5CDD505-2E9C-101B-9397-08002B2CF9AE}" pid="4" name="KSOTemplateDocerSaveRecord">
    <vt:lpwstr>eyJoZGlkIjoiNGY1Y2NlMmI1YTNhNTE1ODJiZGVlZDZiOTQ2M2NjNTYiLCJ1c2VySWQiOiI1MjY2MjIyMzMifQ==</vt:lpwstr>
  </property>
</Properties>
</file>