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230"/>
        <w:gridCol w:w="5261"/>
        <w:gridCol w:w="842"/>
        <w:gridCol w:w="1253"/>
        <w:gridCol w:w="842"/>
        <w:gridCol w:w="1040"/>
        <w:gridCol w:w="1457"/>
        <w:gridCol w:w="1457"/>
      </w:tblGrid>
      <w:tr w14:paraId="1A90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276" w:type="pct"/>
            <w:vAlign w:val="center"/>
          </w:tcPr>
          <w:p w14:paraId="2DD45B04">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项目名称</w:t>
            </w:r>
          </w:p>
        </w:tc>
        <w:tc>
          <w:tcPr>
            <w:tcW w:w="434" w:type="pct"/>
            <w:shd w:val="clear" w:color="auto" w:fill="auto"/>
            <w:vAlign w:val="center"/>
          </w:tcPr>
          <w:p w14:paraId="4373F78E">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物资名称</w:t>
            </w:r>
          </w:p>
        </w:tc>
        <w:tc>
          <w:tcPr>
            <w:tcW w:w="1856" w:type="pct"/>
            <w:shd w:val="clear" w:color="auto" w:fill="auto"/>
            <w:vAlign w:val="center"/>
          </w:tcPr>
          <w:p w14:paraId="3121B8AB">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主要技术要求</w:t>
            </w:r>
          </w:p>
        </w:tc>
        <w:tc>
          <w:tcPr>
            <w:tcW w:w="297" w:type="pct"/>
            <w:shd w:val="clear" w:color="auto" w:fill="auto"/>
            <w:vAlign w:val="center"/>
          </w:tcPr>
          <w:p w14:paraId="5013B6AD">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单位</w:t>
            </w:r>
          </w:p>
        </w:tc>
        <w:tc>
          <w:tcPr>
            <w:tcW w:w="442" w:type="pct"/>
            <w:shd w:val="clear" w:color="auto" w:fill="auto"/>
            <w:vAlign w:val="center"/>
          </w:tcPr>
          <w:p w14:paraId="4A8E6944">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数量</w:t>
            </w:r>
          </w:p>
        </w:tc>
        <w:tc>
          <w:tcPr>
            <w:tcW w:w="297" w:type="pct"/>
            <w:shd w:val="clear" w:color="auto" w:fill="FF0000"/>
            <w:vAlign w:val="center"/>
          </w:tcPr>
          <w:p w14:paraId="2DF589DB">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交货日期</w:t>
            </w:r>
          </w:p>
        </w:tc>
        <w:tc>
          <w:tcPr>
            <w:tcW w:w="367" w:type="pct"/>
            <w:vAlign w:val="center"/>
          </w:tcPr>
          <w:p w14:paraId="19AD0032">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质保期（不低于）</w:t>
            </w:r>
          </w:p>
        </w:tc>
        <w:tc>
          <w:tcPr>
            <w:tcW w:w="514" w:type="pct"/>
            <w:shd w:val="clear" w:color="auto" w:fill="auto"/>
            <w:vAlign w:val="center"/>
          </w:tcPr>
          <w:p w14:paraId="0FA1FEB5">
            <w:pPr>
              <w:widowControl/>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交货地点</w:t>
            </w:r>
          </w:p>
        </w:tc>
        <w:tc>
          <w:tcPr>
            <w:tcW w:w="514" w:type="pct"/>
            <w:shd w:val="clear" w:color="auto" w:fill="auto"/>
            <w:vAlign w:val="center"/>
          </w:tcPr>
          <w:p w14:paraId="55403EEB">
            <w:pPr>
              <w:widowControl/>
              <w:jc w:val="center"/>
              <w:rPr>
                <w:rFonts w:hint="default"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专用业绩要求</w:t>
            </w:r>
          </w:p>
        </w:tc>
      </w:tr>
      <w:tr w14:paraId="4851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276" w:type="pct"/>
            <w:vMerge w:val="restart"/>
            <w:vAlign w:val="center"/>
          </w:tcPr>
          <w:p w14:paraId="7F09B1D7">
            <w:pPr>
              <w:widowControl/>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无人机电池充电单元等采购项目</w:t>
            </w:r>
          </w:p>
        </w:tc>
        <w:tc>
          <w:tcPr>
            <w:tcW w:w="434" w:type="pct"/>
            <w:shd w:val="clear" w:color="auto" w:fill="auto"/>
            <w:vAlign w:val="center"/>
          </w:tcPr>
          <w:p w14:paraId="1AE0700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柜体组件</w:t>
            </w:r>
          </w:p>
        </w:tc>
        <w:tc>
          <w:tcPr>
            <w:tcW w:w="1856" w:type="pct"/>
            <w:shd w:val="clear" w:color="auto" w:fill="auto"/>
            <w:vAlign w:val="center"/>
          </w:tcPr>
          <w:p w14:paraId="158D3F8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1.整体重量≤150kg；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2.电池存储仓位≥15组；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3.充电仓位≥15组，并支持同时充电；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4.具有硬件急停功能，且存在任意状态报警时可切断充电。</w:t>
            </w:r>
          </w:p>
        </w:tc>
        <w:tc>
          <w:tcPr>
            <w:tcW w:w="297" w:type="pct"/>
            <w:shd w:val="clear" w:color="000000" w:fill="FFFFFF"/>
            <w:vAlign w:val="center"/>
          </w:tcPr>
          <w:p w14:paraId="5EEE1329">
            <w:pPr>
              <w:keepNext w:val="0"/>
              <w:keepLines w:val="0"/>
              <w:widowControl/>
              <w:suppressLineNumbers w:val="0"/>
              <w:jc w:val="center"/>
              <w:textAlignment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个</w:t>
            </w:r>
          </w:p>
        </w:tc>
        <w:tc>
          <w:tcPr>
            <w:tcW w:w="442" w:type="pct"/>
            <w:shd w:val="clear" w:color="auto" w:fill="auto"/>
            <w:vAlign w:val="center"/>
          </w:tcPr>
          <w:p w14:paraId="396721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w:t>
            </w:r>
          </w:p>
        </w:tc>
        <w:tc>
          <w:tcPr>
            <w:tcW w:w="297" w:type="pct"/>
            <w:vMerge w:val="restart"/>
            <w:shd w:val="clear" w:color="auto" w:fill="FF0000"/>
            <w:vAlign w:val="center"/>
          </w:tcPr>
          <w:p w14:paraId="03F330D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接到供货通知后</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u w:val="single"/>
              </w:rPr>
              <w:t>0</w:t>
            </w:r>
            <w:r>
              <w:rPr>
                <w:rFonts w:hint="eastAsia" w:ascii="宋体" w:hAnsi="宋体" w:eastAsia="宋体" w:cs="宋体"/>
                <w:kern w:val="0"/>
                <w:sz w:val="24"/>
                <w:szCs w:val="24"/>
              </w:rPr>
              <w:t>日内</w:t>
            </w:r>
          </w:p>
        </w:tc>
        <w:tc>
          <w:tcPr>
            <w:tcW w:w="367" w:type="pct"/>
            <w:vMerge w:val="restart"/>
            <w:vAlign w:val="center"/>
          </w:tcPr>
          <w:p w14:paraId="29B466DA">
            <w:pPr>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36</w:t>
            </w:r>
            <w:r>
              <w:rPr>
                <w:rFonts w:hint="eastAsia" w:ascii="宋体" w:hAnsi="宋体" w:eastAsia="宋体" w:cs="宋体"/>
                <w:color w:val="000000" w:themeColor="text1"/>
                <w:kern w:val="0"/>
                <w:sz w:val="24"/>
                <w:szCs w:val="24"/>
                <w:highlight w:val="none"/>
                <w14:textFill>
                  <w14:solidFill>
                    <w14:schemeClr w14:val="tx1"/>
                  </w14:solidFill>
                </w14:textFill>
              </w:rPr>
              <w:t>个月</w:t>
            </w:r>
          </w:p>
        </w:tc>
        <w:tc>
          <w:tcPr>
            <w:tcW w:w="514" w:type="pct"/>
            <w:vMerge w:val="restart"/>
            <w:shd w:val="clear" w:color="auto" w:fill="auto"/>
            <w:vAlign w:val="center"/>
          </w:tcPr>
          <w:p w14:paraId="76CB5130">
            <w:pPr>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买方指定地点地面交货</w:t>
            </w:r>
          </w:p>
        </w:tc>
        <w:tc>
          <w:tcPr>
            <w:tcW w:w="514" w:type="pct"/>
            <w:vMerge w:val="restart"/>
            <w:shd w:val="clear" w:color="auto" w:fill="auto"/>
            <w:vAlign w:val="center"/>
          </w:tcPr>
          <w:p w14:paraId="151082CB">
            <w:pPr>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b/>
                <w:bCs/>
                <w:color w:val="000000"/>
                <w:kern w:val="0"/>
                <w:sz w:val="24"/>
                <w:szCs w:val="24"/>
              </w:rPr>
              <w:t>业绩要求</w:t>
            </w:r>
            <w:r>
              <w:rPr>
                <w:rFonts w:hint="eastAsia" w:ascii="宋体" w:hAnsi="宋体" w:eastAsia="宋体" w:cs="宋体"/>
                <w:b/>
                <w:bCs/>
                <w:color w:val="000000"/>
                <w:kern w:val="0"/>
                <w:sz w:val="24"/>
                <w:szCs w:val="24"/>
                <w:lang w:eastAsia="zh-CN"/>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2023年1月1日至2025年12月31日，完成过无人机配件、充电模块、充电柜等销售业绩，累计金额不低于150万元。注:业绩必须提供对应的合同复印件、发票和相应查验截图。</w:t>
            </w:r>
          </w:p>
        </w:tc>
      </w:tr>
      <w:tr w14:paraId="2628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6" w:type="pct"/>
            <w:vMerge w:val="continue"/>
            <w:vAlign w:val="center"/>
          </w:tcPr>
          <w:p w14:paraId="4F56D935">
            <w:pPr>
              <w:widowControl/>
              <w:jc w:val="center"/>
              <w:rPr>
                <w:rFonts w:hint="eastAsia" w:ascii="宋体" w:hAnsi="宋体" w:eastAsia="宋体" w:cs="宋体"/>
                <w:color w:val="000000" w:themeColor="text1"/>
                <w:kern w:val="0"/>
                <w:sz w:val="24"/>
                <w:szCs w:val="24"/>
                <w:lang w:eastAsia="zh-CN"/>
                <w14:textFill>
                  <w14:solidFill>
                    <w14:schemeClr w14:val="tx1"/>
                  </w14:solidFill>
                </w14:textFill>
              </w:rPr>
            </w:pPr>
          </w:p>
        </w:tc>
        <w:tc>
          <w:tcPr>
            <w:tcW w:w="434" w:type="pct"/>
            <w:shd w:val="clear" w:color="auto" w:fill="auto"/>
            <w:vAlign w:val="center"/>
          </w:tcPr>
          <w:p w14:paraId="1F02473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无人机电池充电单元</w:t>
            </w:r>
          </w:p>
        </w:tc>
        <w:tc>
          <w:tcPr>
            <w:tcW w:w="1856" w:type="pct"/>
            <w:shd w:val="clear" w:color="auto" w:fill="auto"/>
            <w:vAlign w:val="center"/>
          </w:tcPr>
          <w:p w14:paraId="5DBE055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1.可实现无人机电池充电，可适配电压15.4V及15.2V的无人机电池；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2.电池存储仓位≥15组；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3.冲击可靠性：每个方向上的冲击次数：1000次（共6000次）；</w:t>
            </w:r>
          </w:p>
        </w:tc>
        <w:tc>
          <w:tcPr>
            <w:tcW w:w="297" w:type="pct"/>
            <w:shd w:val="clear" w:color="000000" w:fill="FFFFFF"/>
            <w:vAlign w:val="center"/>
          </w:tcPr>
          <w:p w14:paraId="312A3490">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个</w:t>
            </w:r>
          </w:p>
        </w:tc>
        <w:tc>
          <w:tcPr>
            <w:tcW w:w="442" w:type="pct"/>
            <w:shd w:val="clear" w:color="auto" w:fill="auto"/>
            <w:vAlign w:val="center"/>
          </w:tcPr>
          <w:p w14:paraId="27A9392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360</w:t>
            </w:r>
          </w:p>
        </w:tc>
        <w:tc>
          <w:tcPr>
            <w:tcW w:w="297" w:type="pct"/>
            <w:vMerge w:val="continue"/>
            <w:shd w:val="clear" w:color="auto" w:fill="FF0000"/>
            <w:vAlign w:val="center"/>
          </w:tcPr>
          <w:p w14:paraId="2BCD95FA">
            <w:pPr>
              <w:widowControl/>
              <w:jc w:val="center"/>
              <w:rPr>
                <w:rFonts w:hint="eastAsia" w:ascii="宋体" w:hAnsi="宋体" w:eastAsia="宋体" w:cs="宋体"/>
                <w:kern w:val="0"/>
                <w:sz w:val="24"/>
                <w:szCs w:val="24"/>
              </w:rPr>
            </w:pPr>
          </w:p>
        </w:tc>
        <w:tc>
          <w:tcPr>
            <w:tcW w:w="367" w:type="pct"/>
            <w:vMerge w:val="continue"/>
            <w:vAlign w:val="center"/>
          </w:tcPr>
          <w:p w14:paraId="517D039B">
            <w:pPr>
              <w:jc w:val="center"/>
              <w:rPr>
                <w:rFonts w:hint="eastAsia" w:ascii="宋体" w:hAnsi="宋体" w:eastAsia="宋体" w:cs="宋体"/>
                <w:color w:val="000000" w:themeColor="text1"/>
                <w:kern w:val="0"/>
                <w:sz w:val="24"/>
                <w:szCs w:val="24"/>
                <w:highlight w:val="none"/>
                <w14:textFill>
                  <w14:solidFill>
                    <w14:schemeClr w14:val="tx1"/>
                  </w14:solidFill>
                </w14:textFill>
              </w:rPr>
            </w:pPr>
          </w:p>
        </w:tc>
        <w:tc>
          <w:tcPr>
            <w:tcW w:w="514" w:type="pct"/>
            <w:vMerge w:val="continue"/>
            <w:shd w:val="clear" w:color="auto" w:fill="auto"/>
            <w:vAlign w:val="center"/>
          </w:tcPr>
          <w:p w14:paraId="6F1D979A">
            <w:pPr>
              <w:jc w:val="center"/>
              <w:rPr>
                <w:rFonts w:hint="eastAsia" w:ascii="宋体" w:hAnsi="宋体" w:eastAsia="宋体" w:cs="宋体"/>
                <w:color w:val="000000" w:themeColor="text1"/>
                <w:kern w:val="0"/>
                <w:sz w:val="24"/>
                <w:szCs w:val="24"/>
                <w14:textFill>
                  <w14:solidFill>
                    <w14:schemeClr w14:val="tx1"/>
                  </w14:solidFill>
                </w14:textFill>
              </w:rPr>
            </w:pPr>
          </w:p>
        </w:tc>
        <w:tc>
          <w:tcPr>
            <w:tcW w:w="514" w:type="pct"/>
            <w:vMerge w:val="continue"/>
            <w:shd w:val="clear" w:color="auto" w:fill="auto"/>
            <w:vAlign w:val="center"/>
          </w:tcPr>
          <w:p w14:paraId="42475211">
            <w:pPr>
              <w:jc w:val="center"/>
              <w:rPr>
                <w:rFonts w:hint="eastAsia" w:ascii="宋体" w:hAnsi="宋体" w:eastAsia="宋体" w:cs="宋体"/>
                <w:color w:val="000000" w:themeColor="text1"/>
                <w:kern w:val="0"/>
                <w:sz w:val="24"/>
                <w:szCs w:val="24"/>
                <w14:textFill>
                  <w14:solidFill>
                    <w14:schemeClr w14:val="tx1"/>
                  </w14:solidFill>
                </w14:textFill>
              </w:rPr>
            </w:pPr>
          </w:p>
        </w:tc>
      </w:tr>
      <w:tr w14:paraId="6258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276" w:type="pct"/>
            <w:vMerge w:val="continue"/>
            <w:vAlign w:val="center"/>
          </w:tcPr>
          <w:p w14:paraId="6BE17FB6">
            <w:pPr>
              <w:widowControl/>
              <w:jc w:val="center"/>
              <w:rPr>
                <w:rFonts w:hint="eastAsia" w:ascii="宋体" w:hAnsi="宋体" w:eastAsia="宋体" w:cs="宋体"/>
                <w:color w:val="000000" w:themeColor="text1"/>
                <w:kern w:val="0"/>
                <w:sz w:val="24"/>
                <w:szCs w:val="24"/>
                <w:lang w:eastAsia="zh-CN"/>
                <w14:textFill>
                  <w14:solidFill>
                    <w14:schemeClr w14:val="tx1"/>
                  </w14:solidFill>
                </w14:textFill>
              </w:rPr>
            </w:pPr>
          </w:p>
        </w:tc>
        <w:tc>
          <w:tcPr>
            <w:tcW w:w="434" w:type="pct"/>
            <w:shd w:val="clear" w:color="auto" w:fill="auto"/>
            <w:vAlign w:val="center"/>
          </w:tcPr>
          <w:p w14:paraId="1D4911D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充电状态管理单元</w:t>
            </w:r>
          </w:p>
        </w:tc>
        <w:tc>
          <w:tcPr>
            <w:tcW w:w="1856" w:type="pct"/>
            <w:shd w:val="clear" w:color="auto" w:fill="auto"/>
            <w:vAlign w:val="center"/>
          </w:tcPr>
          <w:p w14:paraId="4710233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1.触摸一体机：方便操作，记录保存；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2.配有扫码装置，可扫码（支持条形码或二维码）实现电池管理，支持电池优先使用推荐及均衡使用管理；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3.具有状态显示功能：通过触摸屏，可显示及控制管理柜状态；通过三色指示灯，可指示管理柜状态。</w:t>
            </w:r>
          </w:p>
        </w:tc>
        <w:tc>
          <w:tcPr>
            <w:tcW w:w="297" w:type="pct"/>
            <w:shd w:val="clear" w:color="000000" w:fill="FFFFFF"/>
            <w:vAlign w:val="center"/>
          </w:tcPr>
          <w:p w14:paraId="0EB849BA">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个</w:t>
            </w:r>
          </w:p>
        </w:tc>
        <w:tc>
          <w:tcPr>
            <w:tcW w:w="442" w:type="pct"/>
            <w:shd w:val="clear" w:color="auto" w:fill="auto"/>
            <w:vAlign w:val="center"/>
          </w:tcPr>
          <w:p w14:paraId="6525D11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360</w:t>
            </w:r>
          </w:p>
        </w:tc>
        <w:tc>
          <w:tcPr>
            <w:tcW w:w="297" w:type="pct"/>
            <w:vMerge w:val="continue"/>
            <w:shd w:val="clear" w:color="auto" w:fill="FF0000"/>
            <w:vAlign w:val="center"/>
          </w:tcPr>
          <w:p w14:paraId="52AB551A">
            <w:pPr>
              <w:widowControl/>
              <w:jc w:val="center"/>
              <w:rPr>
                <w:rFonts w:hint="eastAsia" w:ascii="宋体" w:hAnsi="宋体" w:eastAsia="宋体" w:cs="宋体"/>
                <w:kern w:val="0"/>
                <w:sz w:val="24"/>
                <w:szCs w:val="24"/>
              </w:rPr>
            </w:pPr>
          </w:p>
        </w:tc>
        <w:tc>
          <w:tcPr>
            <w:tcW w:w="367" w:type="pct"/>
            <w:vMerge w:val="continue"/>
            <w:vAlign w:val="center"/>
          </w:tcPr>
          <w:p w14:paraId="737B7A27">
            <w:pPr>
              <w:jc w:val="center"/>
              <w:rPr>
                <w:rFonts w:hint="eastAsia" w:ascii="宋体" w:hAnsi="宋体" w:eastAsia="宋体" w:cs="宋体"/>
                <w:color w:val="000000" w:themeColor="text1"/>
                <w:kern w:val="0"/>
                <w:sz w:val="24"/>
                <w:szCs w:val="24"/>
                <w14:textFill>
                  <w14:solidFill>
                    <w14:schemeClr w14:val="tx1"/>
                  </w14:solidFill>
                </w14:textFill>
              </w:rPr>
            </w:pPr>
          </w:p>
        </w:tc>
        <w:tc>
          <w:tcPr>
            <w:tcW w:w="514" w:type="pct"/>
            <w:vMerge w:val="continue"/>
            <w:shd w:val="clear" w:color="auto" w:fill="auto"/>
            <w:vAlign w:val="center"/>
          </w:tcPr>
          <w:p w14:paraId="1B465C45">
            <w:pPr>
              <w:jc w:val="center"/>
              <w:rPr>
                <w:rFonts w:hint="eastAsia" w:ascii="宋体" w:hAnsi="宋体" w:eastAsia="宋体" w:cs="宋体"/>
                <w:color w:val="000000" w:themeColor="text1"/>
                <w:kern w:val="0"/>
                <w:sz w:val="24"/>
                <w:szCs w:val="24"/>
                <w14:textFill>
                  <w14:solidFill>
                    <w14:schemeClr w14:val="tx1"/>
                  </w14:solidFill>
                </w14:textFill>
              </w:rPr>
            </w:pPr>
          </w:p>
        </w:tc>
        <w:tc>
          <w:tcPr>
            <w:tcW w:w="514" w:type="pct"/>
            <w:vMerge w:val="continue"/>
            <w:shd w:val="clear" w:color="auto" w:fill="auto"/>
            <w:vAlign w:val="center"/>
          </w:tcPr>
          <w:p w14:paraId="7CA4A288">
            <w:pPr>
              <w:jc w:val="center"/>
              <w:rPr>
                <w:rFonts w:hint="eastAsia" w:ascii="宋体" w:hAnsi="宋体" w:eastAsia="宋体" w:cs="宋体"/>
                <w:color w:val="000000" w:themeColor="text1"/>
                <w:kern w:val="0"/>
                <w:sz w:val="24"/>
                <w:szCs w:val="24"/>
                <w14:textFill>
                  <w14:solidFill>
                    <w14:schemeClr w14:val="tx1"/>
                  </w14:solidFill>
                </w14:textFill>
              </w:rPr>
            </w:pPr>
          </w:p>
        </w:tc>
      </w:tr>
      <w:tr w14:paraId="2FFB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76" w:type="pct"/>
            <w:vMerge w:val="continue"/>
            <w:vAlign w:val="center"/>
          </w:tcPr>
          <w:p w14:paraId="425EFB99">
            <w:pPr>
              <w:widowControl/>
              <w:jc w:val="center"/>
              <w:rPr>
                <w:rFonts w:hint="eastAsia" w:ascii="宋体" w:hAnsi="宋体" w:eastAsia="宋体" w:cs="宋体"/>
                <w:color w:val="000000" w:themeColor="text1"/>
                <w:kern w:val="0"/>
                <w:sz w:val="24"/>
                <w:szCs w:val="24"/>
                <w:lang w:eastAsia="zh-CN"/>
                <w14:textFill>
                  <w14:solidFill>
                    <w14:schemeClr w14:val="tx1"/>
                  </w14:solidFill>
                </w14:textFill>
              </w:rPr>
            </w:pPr>
          </w:p>
        </w:tc>
        <w:tc>
          <w:tcPr>
            <w:tcW w:w="434" w:type="pct"/>
            <w:shd w:val="clear" w:color="auto" w:fill="auto"/>
            <w:vAlign w:val="center"/>
          </w:tcPr>
          <w:p w14:paraId="7E2E448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环境监测单元</w:t>
            </w:r>
          </w:p>
        </w:tc>
        <w:tc>
          <w:tcPr>
            <w:tcW w:w="1856" w:type="pct"/>
            <w:shd w:val="clear" w:color="auto" w:fill="auto"/>
            <w:vAlign w:val="center"/>
          </w:tcPr>
          <w:p w14:paraId="6D625561">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1.电池柜内温度控制在30℃-50℃；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2.具有温湿度、烟感、视频监控及灭火装置；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3.环境信息联动功能：该装置可将温湿度、视频、火灾等各类环境监测信息进行整合分析，并与其他智能设备实现联动控制，形成全方位、智能化的环境管理体系，提升整体环境安全管控水平。</w:t>
            </w:r>
          </w:p>
        </w:tc>
        <w:tc>
          <w:tcPr>
            <w:tcW w:w="297" w:type="pct"/>
            <w:shd w:val="clear" w:color="000000" w:fill="FFFFFF"/>
            <w:vAlign w:val="center"/>
          </w:tcPr>
          <w:p w14:paraId="0D0AED29">
            <w:pPr>
              <w:keepNext w:val="0"/>
              <w:keepLines w:val="0"/>
              <w:widowControl/>
              <w:suppressLineNumbers w:val="0"/>
              <w:jc w:val="center"/>
              <w:textAlignment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个</w:t>
            </w:r>
          </w:p>
        </w:tc>
        <w:tc>
          <w:tcPr>
            <w:tcW w:w="442" w:type="pct"/>
            <w:shd w:val="clear" w:color="auto" w:fill="auto"/>
            <w:vAlign w:val="center"/>
          </w:tcPr>
          <w:p w14:paraId="7608BF6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25</w:t>
            </w:r>
          </w:p>
        </w:tc>
        <w:tc>
          <w:tcPr>
            <w:tcW w:w="297" w:type="pct"/>
            <w:vMerge w:val="continue"/>
            <w:shd w:val="clear" w:color="auto" w:fill="FF0000"/>
            <w:vAlign w:val="center"/>
          </w:tcPr>
          <w:p w14:paraId="2E480569">
            <w:pPr>
              <w:widowControl/>
              <w:jc w:val="center"/>
              <w:rPr>
                <w:rFonts w:hint="eastAsia" w:ascii="宋体" w:hAnsi="宋体" w:eastAsia="宋体" w:cs="宋体"/>
                <w:kern w:val="0"/>
                <w:sz w:val="24"/>
                <w:szCs w:val="24"/>
              </w:rPr>
            </w:pPr>
          </w:p>
        </w:tc>
        <w:tc>
          <w:tcPr>
            <w:tcW w:w="367" w:type="pct"/>
            <w:vMerge w:val="continue"/>
            <w:vAlign w:val="center"/>
          </w:tcPr>
          <w:p w14:paraId="2B877201">
            <w:pPr>
              <w:jc w:val="center"/>
              <w:rPr>
                <w:rFonts w:hint="eastAsia" w:ascii="宋体" w:hAnsi="宋体" w:eastAsia="宋体" w:cs="宋体"/>
                <w:color w:val="000000" w:themeColor="text1"/>
                <w:kern w:val="0"/>
                <w:sz w:val="24"/>
                <w:szCs w:val="24"/>
                <w:highlight w:val="yellow"/>
                <w14:textFill>
                  <w14:solidFill>
                    <w14:schemeClr w14:val="tx1"/>
                  </w14:solidFill>
                </w14:textFill>
              </w:rPr>
            </w:pPr>
          </w:p>
        </w:tc>
        <w:tc>
          <w:tcPr>
            <w:tcW w:w="514" w:type="pct"/>
            <w:vMerge w:val="continue"/>
            <w:shd w:val="clear" w:color="auto" w:fill="auto"/>
            <w:vAlign w:val="center"/>
          </w:tcPr>
          <w:p w14:paraId="0049D14A">
            <w:pPr>
              <w:jc w:val="center"/>
              <w:rPr>
                <w:rFonts w:hint="eastAsia" w:ascii="宋体" w:hAnsi="宋体" w:eastAsia="宋体" w:cs="宋体"/>
                <w:color w:val="000000" w:themeColor="text1"/>
                <w:kern w:val="0"/>
                <w:sz w:val="24"/>
                <w:szCs w:val="24"/>
                <w14:textFill>
                  <w14:solidFill>
                    <w14:schemeClr w14:val="tx1"/>
                  </w14:solidFill>
                </w14:textFill>
              </w:rPr>
            </w:pPr>
          </w:p>
        </w:tc>
        <w:tc>
          <w:tcPr>
            <w:tcW w:w="514" w:type="pct"/>
            <w:vMerge w:val="continue"/>
            <w:shd w:val="clear" w:color="auto" w:fill="auto"/>
            <w:vAlign w:val="center"/>
          </w:tcPr>
          <w:p w14:paraId="0C0D05BE">
            <w:pPr>
              <w:jc w:val="center"/>
              <w:rPr>
                <w:rFonts w:hint="eastAsia" w:ascii="宋体" w:hAnsi="宋体" w:eastAsia="宋体" w:cs="宋体"/>
                <w:color w:val="000000" w:themeColor="text1"/>
                <w:kern w:val="0"/>
                <w:sz w:val="24"/>
                <w:szCs w:val="24"/>
                <w14:textFill>
                  <w14:solidFill>
                    <w14:schemeClr w14:val="tx1"/>
                  </w14:solidFill>
                </w14:textFill>
              </w:rPr>
            </w:pPr>
          </w:p>
        </w:tc>
      </w:tr>
    </w:tbl>
    <w:p w14:paraId="4E89EC44">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1EBA402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4CC8A358">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15035448">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F4B3000"/>
    <w:rsid w:val="1FD62287"/>
    <w:rsid w:val="1FFC753C"/>
    <w:rsid w:val="247A4BEB"/>
    <w:rsid w:val="2CB05290"/>
    <w:rsid w:val="2E5C3FC8"/>
    <w:rsid w:val="34117602"/>
    <w:rsid w:val="34C07164"/>
    <w:rsid w:val="37DC3A83"/>
    <w:rsid w:val="39333B77"/>
    <w:rsid w:val="42245F5D"/>
    <w:rsid w:val="45CE552A"/>
    <w:rsid w:val="493F377B"/>
    <w:rsid w:val="4A5767AB"/>
    <w:rsid w:val="4DD033AE"/>
    <w:rsid w:val="50FB2D75"/>
    <w:rsid w:val="51D14780"/>
    <w:rsid w:val="525E5C4F"/>
    <w:rsid w:val="52D02C2A"/>
    <w:rsid w:val="55AA3239"/>
    <w:rsid w:val="58B64DDB"/>
    <w:rsid w:val="60601D56"/>
    <w:rsid w:val="6CFE17CB"/>
    <w:rsid w:val="7141612A"/>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5779</Words>
  <Characters>6377</Characters>
  <Lines>0</Lines>
  <Paragraphs>0</Paragraphs>
  <TotalTime>0</TotalTime>
  <ScaleCrop>false</ScaleCrop>
  <LinksUpToDate>false</LinksUpToDate>
  <CharactersWithSpaces>6396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