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C20293">
      <w:pPr>
        <w:keepNext w:val="0"/>
        <w:keepLines w:val="0"/>
        <w:pageBreakBefore w:val="0"/>
        <w:widowControl/>
        <w:shd w:val="clear"/>
        <w:kinsoku/>
        <w:wordWrap/>
        <w:overflowPunct/>
        <w:topLinePunct w:val="0"/>
        <w:bidi w:val="0"/>
        <w:adjustRightInd w:val="0"/>
        <w:snapToGrid w:val="0"/>
        <w:spacing w:before="0" w:beforeLines="-2147483648" w:after="0" w:afterLines="-2147483648" w:line="400" w:lineRule="exact"/>
        <w:jc w:val="left"/>
        <w:textAlignment w:val="auto"/>
        <w:outlineLvl w:val="1"/>
        <w:rPr>
          <w:rFonts w:hint="default" w:ascii="宋体" w:hAnsi="宋体" w:eastAsia="宋体" w:cs="宋体"/>
          <w:b/>
          <w:color w:val="auto"/>
          <w:kern w:val="2"/>
          <w:sz w:val="28"/>
          <w:szCs w:val="28"/>
          <w:highlight w:val="none"/>
          <w:lang w:val="en-US" w:bidi="en-US"/>
        </w:rPr>
      </w:pPr>
      <w:bookmarkStart w:id="0" w:name="_GoBack"/>
      <w:r>
        <w:rPr>
          <w:rFonts w:hint="eastAsia" w:ascii="宋体" w:hAnsi="宋体" w:eastAsia="宋体" w:cs="宋体"/>
          <w:b/>
          <w:color w:val="auto"/>
          <w:kern w:val="2"/>
          <w:sz w:val="28"/>
          <w:szCs w:val="28"/>
          <w:highlight w:val="none"/>
          <w:lang w:val="en-US" w:bidi="en-US"/>
        </w:rPr>
        <w:t>招标公告附件</w:t>
      </w:r>
    </w:p>
    <w:bookmarkEnd w:id="0"/>
    <w:tbl>
      <w:tblPr>
        <w:tblStyle w:val="9"/>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10"/>
        <w:gridCol w:w="1675"/>
        <w:gridCol w:w="4554"/>
        <w:gridCol w:w="830"/>
        <w:gridCol w:w="779"/>
        <w:gridCol w:w="975"/>
        <w:gridCol w:w="1119"/>
        <w:gridCol w:w="907"/>
        <w:gridCol w:w="907"/>
        <w:gridCol w:w="907"/>
      </w:tblGrid>
      <w:tr w14:paraId="2E232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533" w:type="pct"/>
            <w:vAlign w:val="center"/>
          </w:tcPr>
          <w:p w14:paraId="10D8ED93">
            <w:pPr>
              <w:widowControl/>
              <w:snapToGrid w:val="0"/>
              <w:ind w:firstLine="0" w:firstLineChars="0"/>
              <w:jc w:val="center"/>
              <w:rPr>
                <w:rFonts w:hint="eastAsia" w:ascii="宋体" w:hAnsi="宋体" w:eastAsia="宋体" w:cs="宋体"/>
                <w:sz w:val="24"/>
                <w:szCs w:val="24"/>
              </w:rPr>
            </w:pPr>
            <w:r>
              <w:rPr>
                <w:rFonts w:hint="eastAsia" w:ascii="宋体" w:hAnsi="宋体" w:eastAsia="宋体" w:cs="宋体"/>
                <w:sz w:val="24"/>
                <w:szCs w:val="24"/>
              </w:rPr>
              <w:t>项目名称</w:t>
            </w:r>
          </w:p>
        </w:tc>
        <w:tc>
          <w:tcPr>
            <w:tcW w:w="591" w:type="pct"/>
            <w:vAlign w:val="center"/>
          </w:tcPr>
          <w:p w14:paraId="6D1EC916">
            <w:pPr>
              <w:widowControl/>
              <w:snapToGrid w:val="0"/>
              <w:ind w:firstLine="0" w:firstLineChars="0"/>
              <w:jc w:val="center"/>
              <w:rPr>
                <w:rFonts w:hint="eastAsia" w:ascii="宋体" w:hAnsi="宋体" w:eastAsia="宋体" w:cs="宋体"/>
                <w:sz w:val="24"/>
                <w:szCs w:val="24"/>
              </w:rPr>
            </w:pPr>
            <w:r>
              <w:rPr>
                <w:rFonts w:hint="eastAsia" w:ascii="宋体" w:hAnsi="宋体" w:eastAsia="宋体" w:cs="宋体"/>
                <w:sz w:val="24"/>
                <w:szCs w:val="24"/>
              </w:rPr>
              <w:t>物资名称</w:t>
            </w:r>
          </w:p>
        </w:tc>
        <w:tc>
          <w:tcPr>
            <w:tcW w:w="1607" w:type="pct"/>
            <w:vAlign w:val="center"/>
          </w:tcPr>
          <w:p w14:paraId="51154308">
            <w:pPr>
              <w:widowControl/>
              <w:snapToGrid w:val="0"/>
              <w:ind w:firstLine="0" w:firstLineChars="0"/>
              <w:jc w:val="center"/>
              <w:rPr>
                <w:rFonts w:hint="eastAsia" w:ascii="宋体" w:hAnsi="宋体" w:eastAsia="宋体" w:cs="宋体"/>
                <w:sz w:val="24"/>
                <w:szCs w:val="24"/>
              </w:rPr>
            </w:pPr>
            <w:r>
              <w:rPr>
                <w:rFonts w:hint="eastAsia" w:ascii="宋体" w:hAnsi="宋体" w:eastAsia="宋体" w:cs="宋体"/>
                <w:sz w:val="24"/>
                <w:szCs w:val="24"/>
              </w:rPr>
              <w:t>主要技术要求</w:t>
            </w:r>
          </w:p>
        </w:tc>
        <w:tc>
          <w:tcPr>
            <w:tcW w:w="293" w:type="pct"/>
            <w:vAlign w:val="center"/>
          </w:tcPr>
          <w:p w14:paraId="37B9756E">
            <w:pPr>
              <w:widowControl/>
              <w:snapToGrid w:val="0"/>
              <w:ind w:firstLine="0" w:firstLineChars="0"/>
              <w:jc w:val="center"/>
              <w:rPr>
                <w:rFonts w:hint="eastAsia" w:ascii="宋体" w:hAnsi="宋体" w:eastAsia="宋体" w:cs="宋体"/>
                <w:sz w:val="24"/>
                <w:szCs w:val="24"/>
              </w:rPr>
            </w:pPr>
            <w:r>
              <w:rPr>
                <w:rFonts w:hint="eastAsia" w:ascii="宋体" w:hAnsi="宋体" w:eastAsia="宋体" w:cs="宋体"/>
                <w:sz w:val="24"/>
                <w:szCs w:val="24"/>
              </w:rPr>
              <w:t>单位</w:t>
            </w:r>
          </w:p>
        </w:tc>
        <w:tc>
          <w:tcPr>
            <w:tcW w:w="275" w:type="pct"/>
            <w:vAlign w:val="center"/>
          </w:tcPr>
          <w:p w14:paraId="60DAC989">
            <w:pPr>
              <w:widowControl/>
              <w:snapToGrid w:val="0"/>
              <w:ind w:firstLine="0" w:firstLineChars="0"/>
              <w:jc w:val="center"/>
              <w:rPr>
                <w:rFonts w:hint="eastAsia" w:ascii="宋体" w:hAnsi="宋体" w:eastAsia="宋体" w:cs="宋体"/>
                <w:sz w:val="24"/>
                <w:szCs w:val="24"/>
              </w:rPr>
            </w:pPr>
            <w:r>
              <w:rPr>
                <w:rFonts w:hint="eastAsia" w:ascii="宋体" w:hAnsi="宋体" w:eastAsia="宋体" w:cs="宋体"/>
                <w:sz w:val="24"/>
                <w:szCs w:val="24"/>
              </w:rPr>
              <w:t>数量</w:t>
            </w:r>
          </w:p>
        </w:tc>
        <w:tc>
          <w:tcPr>
            <w:tcW w:w="344" w:type="pct"/>
            <w:shd w:val="clear" w:color="auto" w:fill="FF0000"/>
            <w:vAlign w:val="center"/>
          </w:tcPr>
          <w:p w14:paraId="44727F09">
            <w:pPr>
              <w:widowControl/>
              <w:snapToGrid w:val="0"/>
              <w:ind w:firstLine="0" w:firstLineChars="0"/>
              <w:jc w:val="center"/>
              <w:rPr>
                <w:rFonts w:hint="eastAsia" w:ascii="宋体" w:hAnsi="宋体" w:eastAsia="宋体" w:cs="宋体"/>
                <w:sz w:val="24"/>
                <w:szCs w:val="24"/>
              </w:rPr>
            </w:pPr>
            <w:r>
              <w:rPr>
                <w:rFonts w:hint="eastAsia" w:ascii="宋体" w:hAnsi="宋体" w:eastAsia="宋体" w:cs="宋体"/>
                <w:sz w:val="24"/>
                <w:szCs w:val="24"/>
              </w:rPr>
              <w:t>交货日期</w:t>
            </w:r>
          </w:p>
        </w:tc>
        <w:tc>
          <w:tcPr>
            <w:tcW w:w="395" w:type="pct"/>
            <w:shd w:val="clear" w:color="auto" w:fill="auto"/>
            <w:vAlign w:val="center"/>
          </w:tcPr>
          <w:p w14:paraId="7780562E">
            <w:pPr>
              <w:widowControl/>
              <w:snapToGrid w:val="0"/>
              <w:ind w:firstLine="0" w:firstLineChars="0"/>
              <w:jc w:val="center"/>
              <w:rPr>
                <w:rFonts w:hint="eastAsia" w:ascii="宋体" w:hAnsi="宋体" w:eastAsia="宋体" w:cs="宋体"/>
                <w:sz w:val="24"/>
                <w:szCs w:val="24"/>
              </w:rPr>
            </w:pPr>
            <w:r>
              <w:rPr>
                <w:rFonts w:hint="eastAsia" w:ascii="宋体" w:hAnsi="宋体" w:eastAsia="宋体" w:cs="宋体"/>
                <w:sz w:val="24"/>
                <w:szCs w:val="24"/>
              </w:rPr>
              <w:t>质保期（不低于）</w:t>
            </w:r>
          </w:p>
        </w:tc>
        <w:tc>
          <w:tcPr>
            <w:tcW w:w="320" w:type="pct"/>
            <w:vAlign w:val="center"/>
          </w:tcPr>
          <w:p w14:paraId="117721B8">
            <w:pPr>
              <w:widowControl/>
              <w:snapToGrid w:val="0"/>
              <w:ind w:firstLine="0" w:firstLineChars="0"/>
              <w:jc w:val="center"/>
              <w:rPr>
                <w:rFonts w:hint="eastAsia" w:ascii="宋体" w:hAnsi="宋体" w:eastAsia="宋体" w:cs="宋体"/>
                <w:sz w:val="24"/>
                <w:szCs w:val="24"/>
              </w:rPr>
            </w:pPr>
            <w:r>
              <w:rPr>
                <w:rFonts w:hint="eastAsia" w:ascii="宋体" w:hAnsi="宋体" w:eastAsia="宋体" w:cs="宋体"/>
                <w:sz w:val="24"/>
                <w:szCs w:val="24"/>
              </w:rPr>
              <w:t>交货地点</w:t>
            </w:r>
          </w:p>
        </w:tc>
        <w:tc>
          <w:tcPr>
            <w:tcW w:w="320" w:type="pct"/>
            <w:vAlign w:val="center"/>
          </w:tcPr>
          <w:p w14:paraId="47A6B16F">
            <w:pPr>
              <w:widowControl/>
              <w:snapToGrid w:val="0"/>
              <w:ind w:firstLine="0" w:firstLineChars="0"/>
              <w:jc w:val="center"/>
              <w:rPr>
                <w:rFonts w:hint="eastAsia" w:ascii="宋体" w:hAnsi="宋体" w:eastAsia="宋体" w:cs="宋体"/>
                <w:sz w:val="24"/>
                <w:szCs w:val="24"/>
              </w:rPr>
            </w:pPr>
            <w:r>
              <w:rPr>
                <w:rFonts w:hint="eastAsia" w:ascii="宋体" w:hAnsi="宋体" w:eastAsia="宋体" w:cs="宋体"/>
                <w:sz w:val="24"/>
                <w:szCs w:val="24"/>
                <w:lang w:val="en-US" w:eastAsia="zh-CN"/>
              </w:rPr>
              <w:t>专用资格要求</w:t>
            </w:r>
          </w:p>
        </w:tc>
        <w:tc>
          <w:tcPr>
            <w:tcW w:w="320" w:type="pct"/>
            <w:vAlign w:val="center"/>
          </w:tcPr>
          <w:p w14:paraId="663DD2F6">
            <w:pPr>
              <w:widowControl/>
              <w:snapToGrid w:val="0"/>
              <w:ind w:firstLine="0" w:firstLineChars="0"/>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专用业绩要求</w:t>
            </w:r>
          </w:p>
        </w:tc>
      </w:tr>
      <w:tr w14:paraId="21794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3" w:type="pct"/>
            <w:vMerge w:val="restart"/>
            <w:vAlign w:val="center"/>
          </w:tcPr>
          <w:p w14:paraId="3B57FA39">
            <w:pPr>
              <w:widowControl/>
              <w:snapToGrid w:val="0"/>
              <w:ind w:firstLine="0" w:firstLineChars="0"/>
              <w:rPr>
                <w:rFonts w:hint="eastAsia" w:ascii="宋体" w:hAnsi="宋体" w:eastAsia="宋体" w:cs="宋体"/>
                <w:sz w:val="24"/>
                <w:szCs w:val="24"/>
              </w:rPr>
            </w:pPr>
            <w:r>
              <w:rPr>
                <w:rFonts w:hint="eastAsia" w:ascii="宋体" w:hAnsi="宋体" w:eastAsia="宋体" w:cs="宋体"/>
                <w:sz w:val="24"/>
                <w:szCs w:val="24"/>
              </w:rPr>
              <w:t>媒体资源数据处理单元等采购项目</w:t>
            </w:r>
          </w:p>
        </w:tc>
        <w:tc>
          <w:tcPr>
            <w:tcW w:w="591" w:type="pct"/>
            <w:vAlign w:val="center"/>
          </w:tcPr>
          <w:p w14:paraId="392720D1">
            <w:pPr>
              <w:ind w:firstLine="0" w:firstLineChars="0"/>
              <w:jc w:val="left"/>
              <w:rPr>
                <w:rFonts w:hint="eastAsia" w:ascii="宋体" w:hAnsi="宋体" w:eastAsia="宋体" w:cs="宋体"/>
                <w:sz w:val="24"/>
                <w:szCs w:val="24"/>
              </w:rPr>
            </w:pPr>
            <w:r>
              <w:rPr>
                <w:rFonts w:hint="eastAsia" w:ascii="宋体" w:hAnsi="宋体" w:eastAsia="宋体" w:cs="宋体"/>
                <w:sz w:val="24"/>
                <w:szCs w:val="24"/>
              </w:rPr>
              <w:t>媒体资源数据处理单元</w:t>
            </w:r>
          </w:p>
        </w:tc>
        <w:tc>
          <w:tcPr>
            <w:tcW w:w="1607" w:type="pct"/>
            <w:vAlign w:val="center"/>
          </w:tcPr>
          <w:p w14:paraId="7D60EDAB">
            <w:pPr>
              <w:spacing w:line="280" w:lineRule="exact"/>
              <w:ind w:firstLine="0" w:firstLineChars="0"/>
              <w:rPr>
                <w:rFonts w:hint="eastAsia" w:ascii="宋体" w:hAnsi="宋体" w:eastAsia="宋体" w:cs="宋体"/>
                <w:sz w:val="24"/>
                <w:szCs w:val="24"/>
              </w:rPr>
            </w:pPr>
            <w:r>
              <w:rPr>
                <w:rFonts w:hint="eastAsia" w:ascii="宋体" w:hAnsi="宋体" w:eastAsia="宋体" w:cs="宋体"/>
                <w:sz w:val="24"/>
                <w:szCs w:val="24"/>
              </w:rPr>
              <w:t>1.国产化：采用操作系统及处理芯片须为国产自主。</w:t>
            </w:r>
          </w:p>
          <w:p w14:paraId="0A8AA4B9">
            <w:pPr>
              <w:spacing w:line="280" w:lineRule="exact"/>
              <w:ind w:firstLine="0" w:firstLineChars="0"/>
              <w:rPr>
                <w:rFonts w:hint="eastAsia" w:ascii="宋体" w:hAnsi="宋体" w:eastAsia="宋体" w:cs="宋体"/>
                <w:sz w:val="24"/>
                <w:szCs w:val="24"/>
              </w:rPr>
            </w:pPr>
            <w:r>
              <w:rPr>
                <w:rFonts w:hint="eastAsia" w:ascii="宋体" w:hAnsi="宋体" w:eastAsia="宋体" w:cs="宋体"/>
                <w:sz w:val="24"/>
                <w:szCs w:val="24"/>
              </w:rPr>
              <w:t>2.配置≥150路1080P30fps全编全解端口。支持将1个4K30fps端口可拆分为2个1080P60fps端口或者4个1080P30fps端口或者8个720P30fps端口。</w:t>
            </w:r>
          </w:p>
          <w:p w14:paraId="2B93C881">
            <w:pPr>
              <w:spacing w:line="280" w:lineRule="exact"/>
              <w:ind w:firstLine="0" w:firstLineChars="0"/>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eastAsia="宋体" w:cs="宋体"/>
                <w:kern w:val="0"/>
                <w:sz w:val="24"/>
                <w:szCs w:val="24"/>
              </w:rPr>
              <w:t>配置≥2×32核处理器，单核主频≥2.6 GHz，≥8×16GB DDR4内存，≥2×480GB SSD硬盘，≥</w:t>
            </w:r>
            <w:r>
              <w:rPr>
                <w:rFonts w:hint="eastAsia" w:ascii="宋体" w:hAnsi="宋体" w:eastAsia="宋体" w:cs="宋体"/>
                <w:sz w:val="24"/>
                <w:szCs w:val="24"/>
              </w:rPr>
              <w:t>4</w:t>
            </w:r>
            <w:r>
              <w:rPr>
                <w:rFonts w:hint="eastAsia" w:ascii="宋体" w:hAnsi="宋体" w:eastAsia="宋体" w:cs="宋体"/>
                <w:kern w:val="0"/>
                <w:sz w:val="24"/>
                <w:szCs w:val="24"/>
              </w:rPr>
              <w:t>×</w:t>
            </w:r>
            <w:r>
              <w:rPr>
                <w:rFonts w:hint="eastAsia" w:ascii="宋体" w:hAnsi="宋体" w:eastAsia="宋体" w:cs="宋体"/>
                <w:sz w:val="24"/>
                <w:szCs w:val="24"/>
              </w:rPr>
              <w:t>GE网口</w:t>
            </w:r>
            <w:r>
              <w:rPr>
                <w:rFonts w:hint="eastAsia" w:ascii="宋体" w:hAnsi="宋体" w:eastAsia="宋体" w:cs="宋体"/>
                <w:kern w:val="0"/>
                <w:sz w:val="24"/>
                <w:szCs w:val="24"/>
              </w:rPr>
              <w:t>。</w:t>
            </w:r>
          </w:p>
        </w:tc>
        <w:tc>
          <w:tcPr>
            <w:tcW w:w="293" w:type="pct"/>
            <w:shd w:val="clear" w:color="000000" w:fill="FFFFFF"/>
            <w:vAlign w:val="center"/>
          </w:tcPr>
          <w:p w14:paraId="5F7FD188">
            <w:pPr>
              <w:widowControl/>
              <w:snapToGrid w:val="0"/>
              <w:ind w:firstLine="0" w:firstLineChars="0"/>
              <w:jc w:val="center"/>
              <w:rPr>
                <w:rFonts w:hint="eastAsia" w:ascii="宋体" w:hAnsi="宋体" w:eastAsia="宋体" w:cs="宋体"/>
                <w:sz w:val="24"/>
                <w:szCs w:val="24"/>
              </w:rPr>
            </w:pPr>
            <w:r>
              <w:rPr>
                <w:rFonts w:hint="eastAsia" w:ascii="宋体" w:hAnsi="宋体" w:eastAsia="宋体" w:cs="宋体"/>
                <w:sz w:val="24"/>
                <w:szCs w:val="24"/>
              </w:rPr>
              <w:t>套</w:t>
            </w:r>
          </w:p>
        </w:tc>
        <w:tc>
          <w:tcPr>
            <w:tcW w:w="275" w:type="pct"/>
            <w:shd w:val="clear" w:color="000000" w:fill="FFFFFF"/>
            <w:vAlign w:val="center"/>
          </w:tcPr>
          <w:p w14:paraId="459631FC">
            <w:pPr>
              <w:topLinePunct/>
              <w:adjustRightInd w:val="0"/>
              <w:snapToGrid w:val="0"/>
              <w:spacing w:line="240" w:lineRule="atLeast"/>
              <w:ind w:firstLine="0" w:firstLineChars="0"/>
              <w:jc w:val="center"/>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1</w:t>
            </w:r>
          </w:p>
        </w:tc>
        <w:tc>
          <w:tcPr>
            <w:tcW w:w="344" w:type="pct"/>
            <w:shd w:val="clear" w:color="auto" w:fill="FF0000"/>
            <w:vAlign w:val="center"/>
          </w:tcPr>
          <w:p w14:paraId="2E0879BF">
            <w:pPr>
              <w:widowControl/>
              <w:snapToGrid w:val="0"/>
              <w:ind w:firstLine="0" w:firstLineChars="0"/>
              <w:rPr>
                <w:rFonts w:hint="eastAsia" w:ascii="宋体" w:hAnsi="宋体" w:eastAsia="宋体" w:cs="宋体"/>
                <w:sz w:val="24"/>
                <w:szCs w:val="24"/>
              </w:rPr>
            </w:pPr>
            <w:r>
              <w:rPr>
                <w:rFonts w:hint="eastAsia" w:ascii="宋体" w:hAnsi="宋体" w:eastAsia="宋体" w:cs="宋体"/>
                <w:sz w:val="24"/>
                <w:szCs w:val="24"/>
              </w:rPr>
              <w:t>接到供货通知后15日内</w:t>
            </w:r>
          </w:p>
        </w:tc>
        <w:tc>
          <w:tcPr>
            <w:tcW w:w="395" w:type="pct"/>
            <w:shd w:val="clear" w:color="auto" w:fill="auto"/>
            <w:vAlign w:val="center"/>
          </w:tcPr>
          <w:p w14:paraId="16336F21">
            <w:pPr>
              <w:widowControl/>
              <w:snapToGrid w:val="0"/>
              <w:ind w:firstLine="0" w:firstLineChars="0"/>
              <w:jc w:val="center"/>
              <w:rPr>
                <w:rFonts w:hint="eastAsia" w:ascii="宋体" w:hAnsi="宋体" w:eastAsia="宋体" w:cs="宋体"/>
                <w:sz w:val="24"/>
                <w:szCs w:val="24"/>
              </w:rPr>
            </w:pPr>
            <w:r>
              <w:rPr>
                <w:rFonts w:hint="eastAsia" w:ascii="宋体" w:hAnsi="宋体" w:eastAsia="宋体" w:cs="宋体"/>
                <w:sz w:val="24"/>
                <w:szCs w:val="24"/>
              </w:rPr>
              <w:t>3年</w:t>
            </w:r>
          </w:p>
        </w:tc>
        <w:tc>
          <w:tcPr>
            <w:tcW w:w="320" w:type="pct"/>
            <w:vAlign w:val="center"/>
          </w:tcPr>
          <w:p w14:paraId="4E3AF731">
            <w:pPr>
              <w:widowControl/>
              <w:snapToGrid w:val="0"/>
              <w:ind w:firstLine="0" w:firstLineChars="0"/>
              <w:rPr>
                <w:rFonts w:hint="eastAsia" w:ascii="宋体" w:hAnsi="宋体" w:eastAsia="宋体" w:cs="宋体"/>
                <w:sz w:val="24"/>
                <w:szCs w:val="24"/>
              </w:rPr>
            </w:pPr>
            <w:r>
              <w:rPr>
                <w:rFonts w:hint="eastAsia" w:ascii="宋体" w:hAnsi="宋体" w:eastAsia="宋体" w:cs="宋体"/>
                <w:sz w:val="24"/>
                <w:szCs w:val="24"/>
              </w:rPr>
              <w:t>买方指定地点</w:t>
            </w:r>
          </w:p>
        </w:tc>
        <w:tc>
          <w:tcPr>
            <w:tcW w:w="320" w:type="pct"/>
            <w:vMerge w:val="restart"/>
            <w:vAlign w:val="center"/>
          </w:tcPr>
          <w:p w14:paraId="7E020AB4">
            <w:pPr>
              <w:widowControl/>
              <w:snapToGrid w:val="0"/>
              <w:ind w:firstLine="0" w:firstLineChars="0"/>
              <w:rPr>
                <w:rFonts w:hint="eastAsia" w:ascii="宋体" w:hAnsi="宋体" w:eastAsia="宋体" w:cs="宋体"/>
                <w:sz w:val="24"/>
                <w:szCs w:val="24"/>
              </w:rPr>
            </w:pPr>
            <w:r>
              <w:rPr>
                <w:rFonts w:hint="eastAsia" w:ascii="宋体" w:hAnsi="宋体" w:eastAsia="宋体" w:cs="宋体"/>
                <w:color w:val="000000" w:themeColor="text1"/>
                <w:kern w:val="0"/>
                <w:sz w:val="24"/>
                <w:szCs w:val="24"/>
                <w14:textFill>
                  <w14:solidFill>
                    <w14:schemeClr w14:val="tx1"/>
                  </w14:solidFill>
                </w14:textFill>
              </w:rPr>
              <w:t>检测报告：提供国家认可的第三方检测机构出具的有效的检测报告。</w:t>
            </w:r>
          </w:p>
        </w:tc>
        <w:tc>
          <w:tcPr>
            <w:tcW w:w="320" w:type="pct"/>
            <w:vMerge w:val="restart"/>
            <w:vAlign w:val="center"/>
          </w:tcPr>
          <w:p w14:paraId="489AF4B3">
            <w:pPr>
              <w:widowControl/>
              <w:snapToGrid w:val="0"/>
              <w:ind w:firstLine="0" w:firstLineChars="0"/>
              <w:rPr>
                <w:rFonts w:hint="eastAsia" w:ascii="宋体" w:hAnsi="宋体" w:eastAsia="宋体" w:cs="宋体"/>
                <w:sz w:val="24"/>
                <w:szCs w:val="24"/>
              </w:rPr>
            </w:pPr>
            <w:r>
              <w:rPr>
                <w:rFonts w:hint="eastAsia" w:ascii="宋体" w:hAnsi="宋体" w:eastAsia="宋体" w:cs="宋体"/>
                <w:color w:val="000000" w:themeColor="text1"/>
                <w:kern w:val="0"/>
                <w:sz w:val="24"/>
                <w:szCs w:val="24"/>
                <w14:textFill>
                  <w14:solidFill>
                    <w14:schemeClr w14:val="tx1"/>
                  </w14:solidFill>
                </w14:textFill>
              </w:rPr>
              <w:t>业绩要求：2023年1月1日至2025年12月31日，具有电视电话会议设备销售业绩不少于</w:t>
            </w:r>
            <w:r>
              <w:rPr>
                <w:rFonts w:hint="eastAsia" w:ascii="宋体" w:hAnsi="宋体" w:eastAsia="宋体" w:cs="宋体"/>
                <w:color w:val="000000" w:themeColor="text1"/>
                <w:kern w:val="0"/>
                <w:sz w:val="24"/>
                <w:szCs w:val="24"/>
                <w:lang w:val="en-US" w:eastAsia="zh-CN"/>
                <w14:textFill>
                  <w14:solidFill>
                    <w14:schemeClr w14:val="tx1"/>
                  </w14:solidFill>
                </w14:textFill>
              </w:rPr>
              <w:t>100</w:t>
            </w:r>
            <w:r>
              <w:rPr>
                <w:rFonts w:hint="eastAsia" w:ascii="宋体" w:hAnsi="宋体" w:eastAsia="宋体" w:cs="宋体"/>
                <w:color w:val="000000" w:themeColor="text1"/>
                <w:kern w:val="0"/>
                <w:sz w:val="24"/>
                <w:szCs w:val="24"/>
                <w14:textFill>
                  <w14:solidFill>
                    <w14:schemeClr w14:val="tx1"/>
                  </w14:solidFill>
                </w14:textFill>
              </w:rPr>
              <w:t>万元。注：业绩必须提供对应的合同复印件、发票和相应查验截图。</w:t>
            </w:r>
          </w:p>
        </w:tc>
      </w:tr>
      <w:tr w14:paraId="4F224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33" w:type="pct"/>
            <w:vMerge w:val="continue"/>
            <w:vAlign w:val="center"/>
          </w:tcPr>
          <w:p w14:paraId="2CAD752B">
            <w:pPr>
              <w:widowControl/>
              <w:snapToGrid w:val="0"/>
              <w:ind w:firstLine="0" w:firstLineChars="0"/>
              <w:rPr>
                <w:rFonts w:hint="eastAsia" w:ascii="宋体" w:hAnsi="宋体" w:eastAsia="宋体" w:cs="宋体"/>
                <w:sz w:val="24"/>
                <w:szCs w:val="24"/>
              </w:rPr>
            </w:pPr>
          </w:p>
        </w:tc>
        <w:tc>
          <w:tcPr>
            <w:tcW w:w="591" w:type="pct"/>
            <w:vAlign w:val="center"/>
          </w:tcPr>
          <w:p w14:paraId="1574BA7B">
            <w:pPr>
              <w:ind w:firstLine="0" w:firstLineChars="0"/>
              <w:jc w:val="left"/>
              <w:rPr>
                <w:rFonts w:hint="eastAsia" w:ascii="宋体" w:hAnsi="宋体" w:eastAsia="宋体" w:cs="宋体"/>
                <w:sz w:val="24"/>
                <w:szCs w:val="24"/>
              </w:rPr>
            </w:pPr>
            <w:r>
              <w:rPr>
                <w:rFonts w:hint="eastAsia" w:ascii="宋体" w:hAnsi="宋体" w:eastAsia="宋体" w:cs="宋体"/>
                <w:sz w:val="24"/>
                <w:szCs w:val="24"/>
              </w:rPr>
              <w:t>媒体资源编解码模组</w:t>
            </w:r>
          </w:p>
        </w:tc>
        <w:tc>
          <w:tcPr>
            <w:tcW w:w="1607" w:type="pct"/>
            <w:vAlign w:val="center"/>
          </w:tcPr>
          <w:p w14:paraId="43757B72">
            <w:pPr>
              <w:spacing w:line="280" w:lineRule="exact"/>
              <w:ind w:firstLine="0" w:firstLineChars="0"/>
              <w:rPr>
                <w:rFonts w:hint="eastAsia" w:ascii="宋体" w:hAnsi="宋体" w:eastAsia="宋体" w:cs="宋体"/>
                <w:kern w:val="0"/>
                <w:sz w:val="24"/>
                <w:szCs w:val="24"/>
              </w:rPr>
            </w:pPr>
            <w:r>
              <w:rPr>
                <w:rFonts w:hint="eastAsia" w:ascii="宋体" w:hAnsi="宋体" w:eastAsia="宋体" w:cs="宋体"/>
                <w:kern w:val="0"/>
                <w:sz w:val="24"/>
                <w:szCs w:val="24"/>
              </w:rPr>
              <w:t>1.支持ITU-T H.264BP、H.264HP、 H.265、H.264 SVC等视频协议。</w:t>
            </w:r>
          </w:p>
          <w:p w14:paraId="6182EDC3">
            <w:pPr>
              <w:spacing w:line="280" w:lineRule="exact"/>
              <w:ind w:firstLine="0" w:firstLineChars="0"/>
              <w:rPr>
                <w:rFonts w:hint="eastAsia" w:ascii="宋体" w:hAnsi="宋体" w:eastAsia="宋体" w:cs="宋体"/>
                <w:color w:val="000000"/>
                <w:kern w:val="0"/>
                <w:sz w:val="24"/>
                <w:szCs w:val="24"/>
                <w:lang w:bidi="ar"/>
              </w:rPr>
            </w:pPr>
            <w:r>
              <w:rPr>
                <w:rFonts w:hint="eastAsia" w:ascii="宋体" w:hAnsi="宋体" w:eastAsia="宋体" w:cs="宋体"/>
                <w:kern w:val="0"/>
                <w:sz w:val="24"/>
                <w:szCs w:val="24"/>
              </w:rPr>
              <w:t>2.支持全编全解技术，确保每个接入的会场均能以任意不同的协议、带宽、格式、帧率参加同一组会议，会议中任何一个参会终端出现丢包仅影响该会场，不会影响整个会议效果。</w:t>
            </w:r>
          </w:p>
        </w:tc>
        <w:tc>
          <w:tcPr>
            <w:tcW w:w="293" w:type="pct"/>
            <w:shd w:val="clear" w:color="000000" w:fill="FFFFFF"/>
            <w:vAlign w:val="center"/>
          </w:tcPr>
          <w:p w14:paraId="76E8393D">
            <w:pPr>
              <w:widowControl/>
              <w:snapToGrid w:val="0"/>
              <w:ind w:firstLine="0" w:firstLineChars="0"/>
              <w:jc w:val="center"/>
              <w:rPr>
                <w:rFonts w:hint="eastAsia" w:ascii="宋体" w:hAnsi="宋体" w:eastAsia="宋体" w:cs="宋体"/>
                <w:sz w:val="24"/>
                <w:szCs w:val="24"/>
              </w:rPr>
            </w:pPr>
            <w:r>
              <w:rPr>
                <w:rFonts w:hint="eastAsia" w:ascii="宋体" w:hAnsi="宋体" w:eastAsia="宋体" w:cs="宋体"/>
                <w:sz w:val="24"/>
                <w:szCs w:val="24"/>
              </w:rPr>
              <w:t>套</w:t>
            </w:r>
          </w:p>
        </w:tc>
        <w:tc>
          <w:tcPr>
            <w:tcW w:w="275" w:type="pct"/>
            <w:shd w:val="clear" w:color="000000" w:fill="FFFFFF"/>
            <w:vAlign w:val="center"/>
          </w:tcPr>
          <w:p w14:paraId="45E8CC7A">
            <w:pPr>
              <w:topLinePunct/>
              <w:adjustRightInd w:val="0"/>
              <w:snapToGrid w:val="0"/>
              <w:spacing w:line="240" w:lineRule="atLeast"/>
              <w:ind w:firstLine="0" w:firstLineChars="0"/>
              <w:jc w:val="center"/>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1</w:t>
            </w:r>
          </w:p>
        </w:tc>
        <w:tc>
          <w:tcPr>
            <w:tcW w:w="344" w:type="pct"/>
            <w:shd w:val="clear" w:color="auto" w:fill="FF0000"/>
            <w:vAlign w:val="center"/>
          </w:tcPr>
          <w:p w14:paraId="0EF92CC7">
            <w:pPr>
              <w:widowControl/>
              <w:snapToGrid w:val="0"/>
              <w:ind w:firstLine="0" w:firstLineChars="0"/>
              <w:rPr>
                <w:rFonts w:hint="eastAsia" w:ascii="宋体" w:hAnsi="宋体" w:eastAsia="宋体" w:cs="宋体"/>
                <w:sz w:val="24"/>
                <w:szCs w:val="24"/>
              </w:rPr>
            </w:pPr>
            <w:r>
              <w:rPr>
                <w:rFonts w:hint="eastAsia" w:ascii="宋体" w:hAnsi="宋体" w:eastAsia="宋体" w:cs="宋体"/>
                <w:sz w:val="24"/>
                <w:szCs w:val="24"/>
              </w:rPr>
              <w:t>接到供货通知后15日内</w:t>
            </w:r>
          </w:p>
        </w:tc>
        <w:tc>
          <w:tcPr>
            <w:tcW w:w="395" w:type="pct"/>
            <w:shd w:val="clear" w:color="auto" w:fill="auto"/>
            <w:vAlign w:val="center"/>
          </w:tcPr>
          <w:p w14:paraId="08379A93">
            <w:pPr>
              <w:widowControl/>
              <w:snapToGrid w:val="0"/>
              <w:ind w:firstLine="0" w:firstLineChars="0"/>
              <w:jc w:val="center"/>
              <w:rPr>
                <w:rFonts w:hint="eastAsia" w:ascii="宋体" w:hAnsi="宋体" w:eastAsia="宋体" w:cs="宋体"/>
                <w:sz w:val="24"/>
                <w:szCs w:val="24"/>
              </w:rPr>
            </w:pPr>
            <w:r>
              <w:rPr>
                <w:rFonts w:hint="eastAsia" w:ascii="宋体" w:hAnsi="宋体" w:eastAsia="宋体" w:cs="宋体"/>
                <w:sz w:val="24"/>
                <w:szCs w:val="24"/>
              </w:rPr>
              <w:t>3年</w:t>
            </w:r>
          </w:p>
        </w:tc>
        <w:tc>
          <w:tcPr>
            <w:tcW w:w="320" w:type="pct"/>
            <w:vAlign w:val="center"/>
          </w:tcPr>
          <w:p w14:paraId="5831A96E">
            <w:pPr>
              <w:widowControl/>
              <w:snapToGrid w:val="0"/>
              <w:ind w:firstLine="0" w:firstLineChars="0"/>
              <w:rPr>
                <w:rFonts w:hint="eastAsia" w:ascii="宋体" w:hAnsi="宋体" w:eastAsia="宋体" w:cs="宋体"/>
                <w:sz w:val="24"/>
                <w:szCs w:val="24"/>
              </w:rPr>
            </w:pPr>
            <w:r>
              <w:rPr>
                <w:rFonts w:hint="eastAsia" w:ascii="宋体" w:hAnsi="宋体" w:eastAsia="宋体" w:cs="宋体"/>
                <w:sz w:val="24"/>
                <w:szCs w:val="24"/>
              </w:rPr>
              <w:t>买方指定地点</w:t>
            </w:r>
          </w:p>
        </w:tc>
        <w:tc>
          <w:tcPr>
            <w:tcW w:w="320" w:type="pct"/>
            <w:vMerge w:val="continue"/>
            <w:vAlign w:val="center"/>
          </w:tcPr>
          <w:p w14:paraId="2553D1FD">
            <w:pPr>
              <w:widowControl/>
              <w:snapToGrid w:val="0"/>
              <w:ind w:firstLine="0" w:firstLineChars="0"/>
              <w:rPr>
                <w:rFonts w:hint="eastAsia" w:ascii="宋体" w:hAnsi="宋体" w:eastAsia="宋体" w:cs="宋体"/>
                <w:sz w:val="24"/>
                <w:szCs w:val="24"/>
              </w:rPr>
            </w:pPr>
          </w:p>
        </w:tc>
        <w:tc>
          <w:tcPr>
            <w:tcW w:w="320" w:type="pct"/>
            <w:vMerge w:val="continue"/>
            <w:vAlign w:val="center"/>
          </w:tcPr>
          <w:p w14:paraId="26F1484A">
            <w:pPr>
              <w:widowControl/>
              <w:snapToGrid w:val="0"/>
              <w:ind w:firstLine="0" w:firstLineChars="0"/>
              <w:rPr>
                <w:rFonts w:hint="eastAsia" w:ascii="宋体" w:hAnsi="宋体" w:eastAsia="宋体" w:cs="宋体"/>
                <w:sz w:val="24"/>
                <w:szCs w:val="24"/>
              </w:rPr>
            </w:pPr>
          </w:p>
        </w:tc>
      </w:tr>
      <w:tr w14:paraId="7D1FC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33" w:type="pct"/>
            <w:vMerge w:val="continue"/>
            <w:vAlign w:val="center"/>
          </w:tcPr>
          <w:p w14:paraId="51AF5F90">
            <w:pPr>
              <w:widowControl/>
              <w:snapToGrid w:val="0"/>
              <w:ind w:firstLine="0" w:firstLineChars="0"/>
              <w:rPr>
                <w:rFonts w:hint="eastAsia" w:ascii="宋体" w:hAnsi="宋体" w:eastAsia="宋体" w:cs="宋体"/>
                <w:sz w:val="24"/>
                <w:szCs w:val="24"/>
              </w:rPr>
            </w:pPr>
          </w:p>
        </w:tc>
        <w:tc>
          <w:tcPr>
            <w:tcW w:w="591" w:type="pct"/>
            <w:vAlign w:val="center"/>
          </w:tcPr>
          <w:p w14:paraId="4FF1FAAB">
            <w:pPr>
              <w:ind w:firstLine="0" w:firstLineChars="0"/>
              <w:jc w:val="left"/>
              <w:rPr>
                <w:rFonts w:hint="eastAsia" w:ascii="宋体" w:hAnsi="宋体" w:eastAsia="宋体" w:cs="宋体"/>
                <w:sz w:val="24"/>
                <w:szCs w:val="24"/>
              </w:rPr>
            </w:pPr>
            <w:r>
              <w:rPr>
                <w:rFonts w:hint="eastAsia" w:ascii="宋体" w:hAnsi="宋体" w:eastAsia="宋体" w:cs="宋体"/>
                <w:sz w:val="24"/>
                <w:szCs w:val="24"/>
              </w:rPr>
              <w:t>媒体资源音视频模组</w:t>
            </w:r>
          </w:p>
        </w:tc>
        <w:tc>
          <w:tcPr>
            <w:tcW w:w="1607" w:type="pct"/>
            <w:vAlign w:val="center"/>
          </w:tcPr>
          <w:p w14:paraId="1AA73A59">
            <w:pPr>
              <w:spacing w:line="280" w:lineRule="exact"/>
              <w:ind w:firstLine="0" w:firstLineChars="0"/>
              <w:rPr>
                <w:rFonts w:hint="eastAsia" w:ascii="宋体" w:hAnsi="宋体" w:eastAsia="宋体" w:cs="宋体"/>
                <w:kern w:val="0"/>
                <w:sz w:val="24"/>
                <w:szCs w:val="24"/>
              </w:rPr>
            </w:pPr>
            <w:r>
              <w:rPr>
                <w:rFonts w:hint="eastAsia" w:ascii="宋体" w:hAnsi="宋体" w:eastAsia="宋体" w:cs="宋体"/>
                <w:kern w:val="0"/>
                <w:sz w:val="24"/>
                <w:szCs w:val="24"/>
              </w:rPr>
              <w:t>1.支持主视频、辅视频同时实现4K30fps。</w:t>
            </w:r>
          </w:p>
          <w:p w14:paraId="1DDC379D">
            <w:pPr>
              <w:spacing w:line="280" w:lineRule="exact"/>
              <w:ind w:firstLine="0" w:firstLineChars="0"/>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rPr>
              <w:t>2.具备AVC/SVC混合会议，以适应不同线路带宽、不同设备能力、不同网络环境下的组网要求。</w:t>
            </w:r>
          </w:p>
        </w:tc>
        <w:tc>
          <w:tcPr>
            <w:tcW w:w="293" w:type="pct"/>
            <w:shd w:val="clear" w:color="000000" w:fill="FFFFFF"/>
            <w:vAlign w:val="center"/>
          </w:tcPr>
          <w:p w14:paraId="244E331D">
            <w:pPr>
              <w:widowControl/>
              <w:snapToGrid w:val="0"/>
              <w:ind w:firstLine="0" w:firstLineChars="0"/>
              <w:jc w:val="center"/>
              <w:rPr>
                <w:rFonts w:hint="eastAsia" w:ascii="宋体" w:hAnsi="宋体" w:eastAsia="宋体" w:cs="宋体"/>
                <w:sz w:val="24"/>
                <w:szCs w:val="24"/>
              </w:rPr>
            </w:pPr>
            <w:r>
              <w:rPr>
                <w:rFonts w:hint="eastAsia" w:ascii="宋体" w:hAnsi="宋体" w:eastAsia="宋体" w:cs="宋体"/>
                <w:sz w:val="24"/>
                <w:szCs w:val="24"/>
              </w:rPr>
              <w:t>套</w:t>
            </w:r>
          </w:p>
        </w:tc>
        <w:tc>
          <w:tcPr>
            <w:tcW w:w="275" w:type="pct"/>
            <w:shd w:val="clear" w:color="000000" w:fill="FFFFFF"/>
            <w:vAlign w:val="center"/>
          </w:tcPr>
          <w:p w14:paraId="670BB866">
            <w:pPr>
              <w:topLinePunct/>
              <w:adjustRightInd w:val="0"/>
              <w:snapToGrid w:val="0"/>
              <w:spacing w:line="240" w:lineRule="atLeast"/>
              <w:ind w:firstLine="0" w:firstLineChars="0"/>
              <w:jc w:val="center"/>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1</w:t>
            </w:r>
          </w:p>
        </w:tc>
        <w:tc>
          <w:tcPr>
            <w:tcW w:w="344" w:type="pct"/>
            <w:shd w:val="clear" w:color="auto" w:fill="FF0000"/>
            <w:vAlign w:val="center"/>
          </w:tcPr>
          <w:p w14:paraId="47AE0B3A">
            <w:pPr>
              <w:widowControl/>
              <w:snapToGrid w:val="0"/>
              <w:ind w:firstLine="0" w:firstLineChars="0"/>
              <w:rPr>
                <w:rFonts w:hint="eastAsia" w:ascii="宋体" w:hAnsi="宋体" w:eastAsia="宋体" w:cs="宋体"/>
                <w:sz w:val="24"/>
                <w:szCs w:val="24"/>
              </w:rPr>
            </w:pPr>
            <w:r>
              <w:rPr>
                <w:rFonts w:hint="eastAsia" w:ascii="宋体" w:hAnsi="宋体" w:eastAsia="宋体" w:cs="宋体"/>
                <w:sz w:val="24"/>
                <w:szCs w:val="24"/>
              </w:rPr>
              <w:t>接到供货通知后15日内</w:t>
            </w:r>
          </w:p>
        </w:tc>
        <w:tc>
          <w:tcPr>
            <w:tcW w:w="395" w:type="pct"/>
            <w:shd w:val="clear" w:color="auto" w:fill="auto"/>
            <w:vAlign w:val="center"/>
          </w:tcPr>
          <w:p w14:paraId="7AF198AB">
            <w:pPr>
              <w:widowControl/>
              <w:snapToGrid w:val="0"/>
              <w:ind w:firstLine="0" w:firstLineChars="0"/>
              <w:jc w:val="center"/>
              <w:rPr>
                <w:rFonts w:hint="eastAsia" w:ascii="宋体" w:hAnsi="宋体" w:eastAsia="宋体" w:cs="宋体"/>
                <w:sz w:val="24"/>
                <w:szCs w:val="24"/>
              </w:rPr>
            </w:pPr>
            <w:r>
              <w:rPr>
                <w:rFonts w:hint="eastAsia" w:ascii="宋体" w:hAnsi="宋体" w:eastAsia="宋体" w:cs="宋体"/>
                <w:sz w:val="24"/>
                <w:szCs w:val="24"/>
              </w:rPr>
              <w:t>3年</w:t>
            </w:r>
          </w:p>
        </w:tc>
        <w:tc>
          <w:tcPr>
            <w:tcW w:w="320" w:type="pct"/>
            <w:vAlign w:val="center"/>
          </w:tcPr>
          <w:p w14:paraId="217AC7D7">
            <w:pPr>
              <w:widowControl/>
              <w:snapToGrid w:val="0"/>
              <w:ind w:firstLine="0" w:firstLineChars="0"/>
              <w:rPr>
                <w:rFonts w:hint="eastAsia" w:ascii="宋体" w:hAnsi="宋体" w:eastAsia="宋体" w:cs="宋体"/>
                <w:sz w:val="24"/>
                <w:szCs w:val="24"/>
              </w:rPr>
            </w:pPr>
            <w:r>
              <w:rPr>
                <w:rFonts w:hint="eastAsia" w:ascii="宋体" w:hAnsi="宋体" w:eastAsia="宋体" w:cs="宋体"/>
                <w:sz w:val="24"/>
                <w:szCs w:val="24"/>
              </w:rPr>
              <w:t>买方指定地点</w:t>
            </w:r>
          </w:p>
        </w:tc>
        <w:tc>
          <w:tcPr>
            <w:tcW w:w="320" w:type="pct"/>
            <w:vMerge w:val="continue"/>
            <w:vAlign w:val="center"/>
          </w:tcPr>
          <w:p w14:paraId="35B877F9">
            <w:pPr>
              <w:widowControl/>
              <w:snapToGrid w:val="0"/>
              <w:ind w:firstLine="0" w:firstLineChars="0"/>
              <w:rPr>
                <w:rFonts w:hint="eastAsia" w:ascii="宋体" w:hAnsi="宋体" w:eastAsia="宋体" w:cs="宋体"/>
                <w:sz w:val="24"/>
                <w:szCs w:val="24"/>
              </w:rPr>
            </w:pPr>
          </w:p>
        </w:tc>
        <w:tc>
          <w:tcPr>
            <w:tcW w:w="320" w:type="pct"/>
            <w:vMerge w:val="continue"/>
            <w:vAlign w:val="center"/>
          </w:tcPr>
          <w:p w14:paraId="528F93E8">
            <w:pPr>
              <w:widowControl/>
              <w:snapToGrid w:val="0"/>
              <w:ind w:firstLine="0" w:firstLineChars="0"/>
              <w:rPr>
                <w:rFonts w:hint="eastAsia" w:ascii="宋体" w:hAnsi="宋体" w:eastAsia="宋体" w:cs="宋体"/>
                <w:sz w:val="24"/>
                <w:szCs w:val="24"/>
              </w:rPr>
            </w:pPr>
          </w:p>
        </w:tc>
      </w:tr>
      <w:tr w14:paraId="22AD3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33" w:type="pct"/>
            <w:vMerge w:val="continue"/>
            <w:vAlign w:val="center"/>
          </w:tcPr>
          <w:p w14:paraId="116A8CF8">
            <w:pPr>
              <w:widowControl/>
              <w:snapToGrid w:val="0"/>
              <w:ind w:firstLine="0" w:firstLineChars="0"/>
              <w:rPr>
                <w:rFonts w:hint="eastAsia" w:ascii="宋体" w:hAnsi="宋体" w:eastAsia="宋体" w:cs="宋体"/>
                <w:sz w:val="24"/>
                <w:szCs w:val="24"/>
              </w:rPr>
            </w:pPr>
          </w:p>
        </w:tc>
        <w:tc>
          <w:tcPr>
            <w:tcW w:w="591" w:type="pct"/>
            <w:vAlign w:val="center"/>
          </w:tcPr>
          <w:p w14:paraId="3FAECAA7">
            <w:pPr>
              <w:ind w:firstLine="0" w:firstLineChars="0"/>
              <w:jc w:val="left"/>
              <w:rPr>
                <w:rFonts w:hint="eastAsia" w:ascii="宋体" w:hAnsi="宋体" w:eastAsia="宋体" w:cs="宋体"/>
                <w:snapToGrid w:val="0"/>
                <w:kern w:val="0"/>
                <w:sz w:val="24"/>
                <w:szCs w:val="24"/>
              </w:rPr>
            </w:pPr>
            <w:r>
              <w:rPr>
                <w:rFonts w:hint="eastAsia" w:ascii="宋体" w:hAnsi="宋体" w:eastAsia="宋体" w:cs="宋体"/>
                <w:sz w:val="24"/>
                <w:szCs w:val="24"/>
              </w:rPr>
              <w:t>媒体资源备份模组</w:t>
            </w:r>
          </w:p>
        </w:tc>
        <w:tc>
          <w:tcPr>
            <w:tcW w:w="1607" w:type="pct"/>
            <w:vAlign w:val="center"/>
          </w:tcPr>
          <w:p w14:paraId="2FA14A3A">
            <w:pPr>
              <w:spacing w:line="280" w:lineRule="exact"/>
              <w:ind w:firstLine="0" w:firstLineChars="0"/>
              <w:rPr>
                <w:rFonts w:hint="eastAsia" w:ascii="宋体" w:hAnsi="宋体" w:eastAsia="宋体" w:cs="宋体"/>
                <w:sz w:val="24"/>
                <w:szCs w:val="24"/>
              </w:rPr>
            </w:pPr>
            <w:r>
              <w:rPr>
                <w:rFonts w:hint="eastAsia" w:ascii="宋体" w:hAnsi="宋体" w:eastAsia="宋体" w:cs="宋体"/>
                <w:color w:val="000000"/>
                <w:kern w:val="0"/>
                <w:sz w:val="24"/>
                <w:szCs w:val="24"/>
              </w:rPr>
              <w:t>1.支持MCU资源池备份功能,当某台MCU发生故障时，管理平台自动将会议调度在其他MCU，无须手动配置，会议切换时间&lt;10S，终端视音频恢复时间&lt;15S。</w:t>
            </w:r>
          </w:p>
        </w:tc>
        <w:tc>
          <w:tcPr>
            <w:tcW w:w="293" w:type="pct"/>
            <w:shd w:val="clear" w:color="000000" w:fill="FFFFFF"/>
            <w:vAlign w:val="center"/>
          </w:tcPr>
          <w:p w14:paraId="59A95994">
            <w:pPr>
              <w:widowControl/>
              <w:snapToGrid w:val="0"/>
              <w:ind w:firstLine="0" w:firstLineChars="0"/>
              <w:jc w:val="center"/>
              <w:rPr>
                <w:rFonts w:hint="eastAsia" w:ascii="宋体" w:hAnsi="宋体" w:eastAsia="宋体" w:cs="宋体"/>
                <w:sz w:val="24"/>
                <w:szCs w:val="24"/>
              </w:rPr>
            </w:pPr>
            <w:r>
              <w:rPr>
                <w:rFonts w:hint="eastAsia" w:ascii="宋体" w:hAnsi="宋体" w:eastAsia="宋体" w:cs="宋体"/>
                <w:sz w:val="24"/>
                <w:szCs w:val="24"/>
              </w:rPr>
              <w:t>套</w:t>
            </w:r>
          </w:p>
        </w:tc>
        <w:tc>
          <w:tcPr>
            <w:tcW w:w="275" w:type="pct"/>
            <w:shd w:val="clear" w:color="000000" w:fill="FFFFFF"/>
            <w:vAlign w:val="center"/>
          </w:tcPr>
          <w:p w14:paraId="50DE59AF">
            <w:pPr>
              <w:topLinePunct/>
              <w:adjustRightInd w:val="0"/>
              <w:snapToGrid w:val="0"/>
              <w:spacing w:line="240" w:lineRule="atLeast"/>
              <w:ind w:firstLine="0" w:firstLineChars="0"/>
              <w:jc w:val="center"/>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1</w:t>
            </w:r>
          </w:p>
        </w:tc>
        <w:tc>
          <w:tcPr>
            <w:tcW w:w="344" w:type="pct"/>
            <w:shd w:val="clear" w:color="auto" w:fill="FF0000"/>
            <w:vAlign w:val="center"/>
          </w:tcPr>
          <w:p w14:paraId="7D235D05">
            <w:pPr>
              <w:widowControl/>
              <w:snapToGrid w:val="0"/>
              <w:ind w:firstLine="0" w:firstLineChars="0"/>
              <w:rPr>
                <w:rFonts w:hint="eastAsia" w:ascii="宋体" w:hAnsi="宋体" w:eastAsia="宋体" w:cs="宋体"/>
                <w:sz w:val="24"/>
                <w:szCs w:val="24"/>
              </w:rPr>
            </w:pPr>
            <w:r>
              <w:rPr>
                <w:rFonts w:hint="eastAsia" w:ascii="宋体" w:hAnsi="宋体" w:eastAsia="宋体" w:cs="宋体"/>
                <w:sz w:val="24"/>
                <w:szCs w:val="24"/>
              </w:rPr>
              <w:t>接到供货通知后15日内</w:t>
            </w:r>
          </w:p>
        </w:tc>
        <w:tc>
          <w:tcPr>
            <w:tcW w:w="395" w:type="pct"/>
            <w:shd w:val="clear" w:color="auto" w:fill="auto"/>
            <w:vAlign w:val="center"/>
          </w:tcPr>
          <w:p w14:paraId="50B48FD6">
            <w:pPr>
              <w:widowControl/>
              <w:snapToGrid w:val="0"/>
              <w:ind w:firstLine="0" w:firstLineChars="0"/>
              <w:jc w:val="center"/>
              <w:rPr>
                <w:rFonts w:hint="eastAsia" w:ascii="宋体" w:hAnsi="宋体" w:eastAsia="宋体" w:cs="宋体"/>
                <w:sz w:val="24"/>
                <w:szCs w:val="24"/>
              </w:rPr>
            </w:pPr>
            <w:r>
              <w:rPr>
                <w:rFonts w:hint="eastAsia" w:ascii="宋体" w:hAnsi="宋体" w:eastAsia="宋体" w:cs="宋体"/>
                <w:sz w:val="24"/>
                <w:szCs w:val="24"/>
              </w:rPr>
              <w:t>3年</w:t>
            </w:r>
          </w:p>
        </w:tc>
        <w:tc>
          <w:tcPr>
            <w:tcW w:w="320" w:type="pct"/>
            <w:vAlign w:val="center"/>
          </w:tcPr>
          <w:p w14:paraId="39FEEADF">
            <w:pPr>
              <w:widowControl/>
              <w:snapToGrid w:val="0"/>
              <w:ind w:firstLine="0" w:firstLineChars="0"/>
              <w:rPr>
                <w:rFonts w:hint="eastAsia" w:ascii="宋体" w:hAnsi="宋体" w:eastAsia="宋体" w:cs="宋体"/>
                <w:sz w:val="24"/>
                <w:szCs w:val="24"/>
              </w:rPr>
            </w:pPr>
            <w:r>
              <w:rPr>
                <w:rFonts w:hint="eastAsia" w:ascii="宋体" w:hAnsi="宋体" w:eastAsia="宋体" w:cs="宋体"/>
                <w:sz w:val="24"/>
                <w:szCs w:val="24"/>
              </w:rPr>
              <w:t>买方指定地点</w:t>
            </w:r>
          </w:p>
        </w:tc>
        <w:tc>
          <w:tcPr>
            <w:tcW w:w="320" w:type="pct"/>
            <w:vMerge w:val="continue"/>
            <w:vAlign w:val="center"/>
          </w:tcPr>
          <w:p w14:paraId="69E7EB3A">
            <w:pPr>
              <w:widowControl/>
              <w:snapToGrid w:val="0"/>
              <w:ind w:firstLine="0" w:firstLineChars="0"/>
              <w:rPr>
                <w:rFonts w:hint="eastAsia" w:ascii="宋体" w:hAnsi="宋体" w:eastAsia="宋体" w:cs="宋体"/>
                <w:sz w:val="24"/>
                <w:szCs w:val="24"/>
              </w:rPr>
            </w:pPr>
          </w:p>
        </w:tc>
        <w:tc>
          <w:tcPr>
            <w:tcW w:w="320" w:type="pct"/>
            <w:vMerge w:val="continue"/>
            <w:vAlign w:val="center"/>
          </w:tcPr>
          <w:p w14:paraId="31A340DA">
            <w:pPr>
              <w:widowControl/>
              <w:snapToGrid w:val="0"/>
              <w:ind w:firstLine="0" w:firstLineChars="0"/>
              <w:rPr>
                <w:rFonts w:hint="eastAsia" w:ascii="宋体" w:hAnsi="宋体" w:eastAsia="宋体" w:cs="宋体"/>
                <w:sz w:val="24"/>
                <w:szCs w:val="24"/>
              </w:rPr>
            </w:pPr>
          </w:p>
        </w:tc>
      </w:tr>
      <w:tr w14:paraId="15D5D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33" w:type="pct"/>
            <w:vMerge w:val="continue"/>
            <w:vAlign w:val="center"/>
          </w:tcPr>
          <w:p w14:paraId="288C26EF">
            <w:pPr>
              <w:widowControl/>
              <w:snapToGrid w:val="0"/>
              <w:ind w:firstLine="0" w:firstLineChars="0"/>
              <w:rPr>
                <w:rFonts w:hint="eastAsia" w:ascii="宋体" w:hAnsi="宋体" w:eastAsia="宋体" w:cs="宋体"/>
                <w:sz w:val="24"/>
                <w:szCs w:val="24"/>
              </w:rPr>
            </w:pPr>
          </w:p>
        </w:tc>
        <w:tc>
          <w:tcPr>
            <w:tcW w:w="591" w:type="pct"/>
            <w:vAlign w:val="center"/>
          </w:tcPr>
          <w:p w14:paraId="23BE5DC4">
            <w:pPr>
              <w:ind w:firstLine="0" w:firstLineChars="0"/>
              <w:jc w:val="left"/>
              <w:rPr>
                <w:rFonts w:hint="eastAsia" w:ascii="宋体" w:hAnsi="宋体" w:eastAsia="宋体" w:cs="宋体"/>
                <w:snapToGrid w:val="0"/>
                <w:kern w:val="0"/>
                <w:sz w:val="24"/>
                <w:szCs w:val="24"/>
              </w:rPr>
            </w:pPr>
            <w:r>
              <w:rPr>
                <w:rFonts w:hint="eastAsia" w:ascii="宋体" w:hAnsi="宋体" w:eastAsia="宋体" w:cs="宋体"/>
                <w:sz w:val="24"/>
                <w:szCs w:val="24"/>
              </w:rPr>
              <w:t>媒体资源组网模组</w:t>
            </w:r>
          </w:p>
        </w:tc>
        <w:tc>
          <w:tcPr>
            <w:tcW w:w="1607" w:type="pct"/>
            <w:vAlign w:val="center"/>
          </w:tcPr>
          <w:p w14:paraId="3AE651A8">
            <w:pPr>
              <w:spacing w:line="280" w:lineRule="exact"/>
              <w:ind w:firstLine="0" w:firstLineChars="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1.具备AVC/SVC混合会议，以适应不同线路带宽、不同设备能力、不同网络环境下的组网要求。</w:t>
            </w:r>
          </w:p>
          <w:p w14:paraId="30D77A9D">
            <w:pPr>
              <w:spacing w:line="280" w:lineRule="exact"/>
              <w:ind w:firstLine="0" w:firstLineChars="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2.在30%丢包下，语音清晰连续，视频清晰流畅。为降低网络带宽支出，具备以 1Mbps 带宽实现1080P60fps 会议效果；具备以 512Kbps 带宽实现1080P30fps 会议效果；具备以 384Kbps 带宽实现720P30fps 会议效果。</w:t>
            </w:r>
          </w:p>
          <w:p w14:paraId="2343EE21">
            <w:pPr>
              <w:spacing w:line="280" w:lineRule="exact"/>
              <w:ind w:firstLine="0" w:firstLineChars="0"/>
              <w:rPr>
                <w:rFonts w:hint="eastAsia" w:ascii="宋体" w:hAnsi="宋体" w:eastAsia="宋体" w:cs="宋体"/>
                <w:sz w:val="24"/>
                <w:szCs w:val="24"/>
              </w:rPr>
            </w:pPr>
            <w:r>
              <w:rPr>
                <w:rFonts w:hint="eastAsia" w:ascii="宋体" w:hAnsi="宋体" w:eastAsia="宋体" w:cs="宋体"/>
                <w:color w:val="000000"/>
                <w:kern w:val="0"/>
                <w:sz w:val="24"/>
                <w:szCs w:val="24"/>
              </w:rPr>
              <w:t>2.支持64K-8M</w:t>
            </w:r>
          </w:p>
        </w:tc>
        <w:tc>
          <w:tcPr>
            <w:tcW w:w="293" w:type="pct"/>
            <w:shd w:val="clear" w:color="000000" w:fill="FFFFFF"/>
            <w:vAlign w:val="center"/>
          </w:tcPr>
          <w:p w14:paraId="00133206">
            <w:pPr>
              <w:widowControl/>
              <w:snapToGrid w:val="0"/>
              <w:ind w:firstLine="0" w:firstLineChars="0"/>
              <w:jc w:val="center"/>
              <w:rPr>
                <w:rFonts w:hint="eastAsia" w:ascii="宋体" w:hAnsi="宋体" w:eastAsia="宋体" w:cs="宋体"/>
                <w:sz w:val="24"/>
                <w:szCs w:val="24"/>
              </w:rPr>
            </w:pPr>
            <w:r>
              <w:rPr>
                <w:rFonts w:hint="eastAsia" w:ascii="宋体" w:hAnsi="宋体" w:eastAsia="宋体" w:cs="宋体"/>
                <w:sz w:val="24"/>
                <w:szCs w:val="24"/>
              </w:rPr>
              <w:t>套</w:t>
            </w:r>
          </w:p>
        </w:tc>
        <w:tc>
          <w:tcPr>
            <w:tcW w:w="275" w:type="pct"/>
            <w:shd w:val="clear" w:color="000000" w:fill="FFFFFF"/>
            <w:vAlign w:val="center"/>
          </w:tcPr>
          <w:p w14:paraId="7B72AEF9">
            <w:pPr>
              <w:topLinePunct/>
              <w:adjustRightInd w:val="0"/>
              <w:snapToGrid w:val="0"/>
              <w:spacing w:line="240" w:lineRule="atLeast"/>
              <w:ind w:firstLine="0" w:firstLineChars="0"/>
              <w:jc w:val="center"/>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1</w:t>
            </w:r>
          </w:p>
        </w:tc>
        <w:tc>
          <w:tcPr>
            <w:tcW w:w="344" w:type="pct"/>
            <w:shd w:val="clear" w:color="auto" w:fill="FF0000"/>
            <w:vAlign w:val="center"/>
          </w:tcPr>
          <w:p w14:paraId="79AF7965">
            <w:pPr>
              <w:widowControl/>
              <w:snapToGrid w:val="0"/>
              <w:ind w:firstLine="0" w:firstLineChars="0"/>
              <w:rPr>
                <w:rFonts w:hint="eastAsia" w:ascii="宋体" w:hAnsi="宋体" w:eastAsia="宋体" w:cs="宋体"/>
                <w:sz w:val="24"/>
                <w:szCs w:val="24"/>
              </w:rPr>
            </w:pPr>
            <w:r>
              <w:rPr>
                <w:rFonts w:hint="eastAsia" w:ascii="宋体" w:hAnsi="宋体" w:eastAsia="宋体" w:cs="宋体"/>
                <w:sz w:val="24"/>
                <w:szCs w:val="24"/>
              </w:rPr>
              <w:t>接到供货通知后15日内</w:t>
            </w:r>
          </w:p>
        </w:tc>
        <w:tc>
          <w:tcPr>
            <w:tcW w:w="395" w:type="pct"/>
            <w:shd w:val="clear" w:color="auto" w:fill="auto"/>
            <w:vAlign w:val="center"/>
          </w:tcPr>
          <w:p w14:paraId="5BD117BE">
            <w:pPr>
              <w:widowControl/>
              <w:snapToGrid w:val="0"/>
              <w:ind w:firstLine="0" w:firstLineChars="0"/>
              <w:jc w:val="center"/>
              <w:rPr>
                <w:rFonts w:hint="eastAsia" w:ascii="宋体" w:hAnsi="宋体" w:eastAsia="宋体" w:cs="宋体"/>
                <w:sz w:val="24"/>
                <w:szCs w:val="24"/>
              </w:rPr>
            </w:pPr>
            <w:r>
              <w:rPr>
                <w:rFonts w:hint="eastAsia" w:ascii="宋体" w:hAnsi="宋体" w:eastAsia="宋体" w:cs="宋体"/>
                <w:sz w:val="24"/>
                <w:szCs w:val="24"/>
              </w:rPr>
              <w:t>3年</w:t>
            </w:r>
          </w:p>
        </w:tc>
        <w:tc>
          <w:tcPr>
            <w:tcW w:w="320" w:type="pct"/>
            <w:vAlign w:val="center"/>
          </w:tcPr>
          <w:p w14:paraId="7F88BE31">
            <w:pPr>
              <w:widowControl/>
              <w:snapToGrid w:val="0"/>
              <w:ind w:firstLine="0" w:firstLineChars="0"/>
              <w:rPr>
                <w:rFonts w:hint="eastAsia" w:ascii="宋体" w:hAnsi="宋体" w:eastAsia="宋体" w:cs="宋体"/>
                <w:sz w:val="24"/>
                <w:szCs w:val="24"/>
              </w:rPr>
            </w:pPr>
            <w:r>
              <w:rPr>
                <w:rFonts w:hint="eastAsia" w:ascii="宋体" w:hAnsi="宋体" w:eastAsia="宋体" w:cs="宋体"/>
                <w:sz w:val="24"/>
                <w:szCs w:val="24"/>
              </w:rPr>
              <w:t>买方指定地点</w:t>
            </w:r>
          </w:p>
        </w:tc>
        <w:tc>
          <w:tcPr>
            <w:tcW w:w="320" w:type="pct"/>
            <w:vMerge w:val="continue"/>
            <w:vAlign w:val="center"/>
          </w:tcPr>
          <w:p w14:paraId="50A6C80F">
            <w:pPr>
              <w:widowControl/>
              <w:snapToGrid w:val="0"/>
              <w:ind w:firstLine="0" w:firstLineChars="0"/>
              <w:rPr>
                <w:rFonts w:hint="eastAsia" w:ascii="宋体" w:hAnsi="宋体" w:eastAsia="宋体" w:cs="宋体"/>
                <w:sz w:val="24"/>
                <w:szCs w:val="24"/>
              </w:rPr>
            </w:pPr>
          </w:p>
        </w:tc>
        <w:tc>
          <w:tcPr>
            <w:tcW w:w="320" w:type="pct"/>
            <w:vMerge w:val="continue"/>
            <w:vAlign w:val="center"/>
          </w:tcPr>
          <w:p w14:paraId="4C99D69C">
            <w:pPr>
              <w:widowControl/>
              <w:snapToGrid w:val="0"/>
              <w:ind w:firstLine="0" w:firstLineChars="0"/>
              <w:rPr>
                <w:rFonts w:hint="eastAsia" w:ascii="宋体" w:hAnsi="宋体" w:eastAsia="宋体" w:cs="宋体"/>
                <w:sz w:val="24"/>
                <w:szCs w:val="24"/>
              </w:rPr>
            </w:pPr>
          </w:p>
        </w:tc>
      </w:tr>
      <w:tr w14:paraId="685D7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33" w:type="pct"/>
            <w:vMerge w:val="continue"/>
            <w:vAlign w:val="center"/>
          </w:tcPr>
          <w:p w14:paraId="515A648F">
            <w:pPr>
              <w:widowControl/>
              <w:snapToGrid w:val="0"/>
              <w:ind w:firstLine="0" w:firstLineChars="0"/>
              <w:rPr>
                <w:rFonts w:hint="eastAsia" w:ascii="宋体" w:hAnsi="宋体" w:eastAsia="宋体" w:cs="宋体"/>
                <w:sz w:val="24"/>
                <w:szCs w:val="24"/>
              </w:rPr>
            </w:pPr>
          </w:p>
        </w:tc>
        <w:tc>
          <w:tcPr>
            <w:tcW w:w="591" w:type="pct"/>
            <w:vAlign w:val="center"/>
          </w:tcPr>
          <w:p w14:paraId="13D0951F">
            <w:pPr>
              <w:ind w:firstLine="0" w:firstLineChars="0"/>
              <w:jc w:val="left"/>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综合管理数据处理单元</w:t>
            </w:r>
          </w:p>
        </w:tc>
        <w:tc>
          <w:tcPr>
            <w:tcW w:w="1607" w:type="pct"/>
            <w:vAlign w:val="center"/>
          </w:tcPr>
          <w:p w14:paraId="226F8409">
            <w:pPr>
              <w:spacing w:line="280" w:lineRule="exact"/>
              <w:ind w:firstLine="0" w:firstLineChars="0"/>
              <w:rPr>
                <w:rFonts w:hint="eastAsia" w:ascii="宋体" w:hAnsi="宋体" w:eastAsia="宋体" w:cs="宋体"/>
                <w:sz w:val="24"/>
                <w:szCs w:val="24"/>
              </w:rPr>
            </w:pPr>
            <w:r>
              <w:rPr>
                <w:rFonts w:hint="eastAsia" w:ascii="宋体" w:hAnsi="宋体" w:eastAsia="宋体" w:cs="宋体"/>
                <w:sz w:val="24"/>
                <w:szCs w:val="24"/>
              </w:rPr>
              <w:t>1.国产化：采用国产自主的操作系统和数据库软件。</w:t>
            </w:r>
          </w:p>
          <w:p w14:paraId="3EDE3035">
            <w:pPr>
              <w:spacing w:line="280" w:lineRule="exact"/>
              <w:ind w:firstLine="0" w:firstLineChars="0"/>
              <w:rPr>
                <w:rFonts w:hint="eastAsia" w:ascii="宋体" w:hAnsi="宋体" w:eastAsia="宋体" w:cs="宋体"/>
                <w:sz w:val="24"/>
                <w:szCs w:val="24"/>
              </w:rPr>
            </w:pPr>
            <w:r>
              <w:rPr>
                <w:rFonts w:hint="eastAsia" w:ascii="宋体" w:hAnsi="宋体" w:eastAsia="宋体" w:cs="宋体"/>
                <w:kern w:val="0"/>
                <w:sz w:val="24"/>
                <w:szCs w:val="24"/>
              </w:rPr>
              <w:t>2.机架式平台，配置≥2×12核处理器，单核主频≥2.2 GHz，≥8×16GB DDR4内存，≥2×960GB SSD硬盘，≥</w:t>
            </w:r>
            <w:r>
              <w:rPr>
                <w:rFonts w:hint="eastAsia" w:ascii="宋体" w:hAnsi="宋体" w:eastAsia="宋体" w:cs="宋体"/>
                <w:sz w:val="24"/>
                <w:szCs w:val="24"/>
              </w:rPr>
              <w:t>2</w:t>
            </w:r>
            <w:r>
              <w:rPr>
                <w:rFonts w:hint="eastAsia" w:ascii="宋体" w:hAnsi="宋体" w:eastAsia="宋体" w:cs="宋体"/>
                <w:kern w:val="0"/>
                <w:sz w:val="24"/>
                <w:szCs w:val="24"/>
              </w:rPr>
              <w:t>×</w:t>
            </w:r>
            <w:r>
              <w:rPr>
                <w:rFonts w:hint="eastAsia" w:ascii="宋体" w:hAnsi="宋体" w:eastAsia="宋体" w:cs="宋体"/>
                <w:sz w:val="24"/>
                <w:szCs w:val="24"/>
              </w:rPr>
              <w:t>GE网口，交流电源</w:t>
            </w:r>
            <w:r>
              <w:rPr>
                <w:rFonts w:hint="eastAsia" w:ascii="宋体" w:hAnsi="宋体" w:eastAsia="宋体" w:cs="宋体"/>
                <w:kern w:val="0"/>
                <w:sz w:val="24"/>
                <w:szCs w:val="24"/>
              </w:rPr>
              <w:t>≥2路。</w:t>
            </w:r>
          </w:p>
        </w:tc>
        <w:tc>
          <w:tcPr>
            <w:tcW w:w="293" w:type="pct"/>
            <w:shd w:val="clear" w:color="000000" w:fill="FFFFFF"/>
            <w:vAlign w:val="center"/>
          </w:tcPr>
          <w:p w14:paraId="6CEC347F">
            <w:pPr>
              <w:widowControl/>
              <w:snapToGrid w:val="0"/>
              <w:ind w:firstLine="0" w:firstLineChars="0"/>
              <w:jc w:val="center"/>
              <w:rPr>
                <w:rFonts w:hint="eastAsia" w:ascii="宋体" w:hAnsi="宋体" w:eastAsia="宋体" w:cs="宋体"/>
                <w:sz w:val="24"/>
                <w:szCs w:val="24"/>
              </w:rPr>
            </w:pPr>
            <w:r>
              <w:rPr>
                <w:rFonts w:hint="eastAsia" w:ascii="宋体" w:hAnsi="宋体" w:eastAsia="宋体" w:cs="宋体"/>
                <w:sz w:val="24"/>
                <w:szCs w:val="24"/>
              </w:rPr>
              <w:t>套</w:t>
            </w:r>
          </w:p>
        </w:tc>
        <w:tc>
          <w:tcPr>
            <w:tcW w:w="275" w:type="pct"/>
            <w:shd w:val="clear" w:color="000000" w:fill="FFFFFF"/>
            <w:vAlign w:val="center"/>
          </w:tcPr>
          <w:p w14:paraId="3CA6E4C6">
            <w:pPr>
              <w:topLinePunct/>
              <w:adjustRightInd w:val="0"/>
              <w:snapToGrid w:val="0"/>
              <w:spacing w:line="240" w:lineRule="atLeast"/>
              <w:ind w:firstLine="0" w:firstLineChars="0"/>
              <w:jc w:val="center"/>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1</w:t>
            </w:r>
          </w:p>
        </w:tc>
        <w:tc>
          <w:tcPr>
            <w:tcW w:w="344" w:type="pct"/>
            <w:shd w:val="clear" w:color="auto" w:fill="FF0000"/>
            <w:vAlign w:val="center"/>
          </w:tcPr>
          <w:p w14:paraId="69A3447D">
            <w:pPr>
              <w:widowControl/>
              <w:snapToGrid w:val="0"/>
              <w:ind w:firstLine="0" w:firstLineChars="0"/>
              <w:rPr>
                <w:rFonts w:hint="eastAsia" w:ascii="宋体" w:hAnsi="宋体" w:eastAsia="宋体" w:cs="宋体"/>
                <w:sz w:val="24"/>
                <w:szCs w:val="24"/>
              </w:rPr>
            </w:pPr>
            <w:r>
              <w:rPr>
                <w:rFonts w:hint="eastAsia" w:ascii="宋体" w:hAnsi="宋体" w:eastAsia="宋体" w:cs="宋体"/>
                <w:sz w:val="24"/>
                <w:szCs w:val="24"/>
              </w:rPr>
              <w:t>接到供货通知后15日内</w:t>
            </w:r>
          </w:p>
        </w:tc>
        <w:tc>
          <w:tcPr>
            <w:tcW w:w="395" w:type="pct"/>
            <w:shd w:val="clear" w:color="auto" w:fill="auto"/>
            <w:vAlign w:val="center"/>
          </w:tcPr>
          <w:p w14:paraId="378750F8">
            <w:pPr>
              <w:widowControl/>
              <w:snapToGrid w:val="0"/>
              <w:ind w:firstLine="0" w:firstLineChars="0"/>
              <w:jc w:val="center"/>
              <w:rPr>
                <w:rFonts w:hint="eastAsia" w:ascii="宋体" w:hAnsi="宋体" w:eastAsia="宋体" w:cs="宋体"/>
                <w:sz w:val="24"/>
                <w:szCs w:val="24"/>
              </w:rPr>
            </w:pPr>
            <w:r>
              <w:rPr>
                <w:rFonts w:hint="eastAsia" w:ascii="宋体" w:hAnsi="宋体" w:eastAsia="宋体" w:cs="宋体"/>
                <w:sz w:val="24"/>
                <w:szCs w:val="24"/>
              </w:rPr>
              <w:t>3年</w:t>
            </w:r>
          </w:p>
        </w:tc>
        <w:tc>
          <w:tcPr>
            <w:tcW w:w="320" w:type="pct"/>
            <w:vAlign w:val="center"/>
          </w:tcPr>
          <w:p w14:paraId="5D3A009A">
            <w:pPr>
              <w:widowControl/>
              <w:snapToGrid w:val="0"/>
              <w:ind w:firstLine="0" w:firstLineChars="0"/>
              <w:rPr>
                <w:rFonts w:hint="eastAsia" w:ascii="宋体" w:hAnsi="宋体" w:eastAsia="宋体" w:cs="宋体"/>
                <w:sz w:val="24"/>
                <w:szCs w:val="24"/>
              </w:rPr>
            </w:pPr>
            <w:r>
              <w:rPr>
                <w:rFonts w:hint="eastAsia" w:ascii="宋体" w:hAnsi="宋体" w:eastAsia="宋体" w:cs="宋体"/>
                <w:sz w:val="24"/>
                <w:szCs w:val="24"/>
              </w:rPr>
              <w:t>买方指定地点</w:t>
            </w:r>
          </w:p>
        </w:tc>
        <w:tc>
          <w:tcPr>
            <w:tcW w:w="320" w:type="pct"/>
            <w:vMerge w:val="continue"/>
            <w:vAlign w:val="center"/>
          </w:tcPr>
          <w:p w14:paraId="0172B194">
            <w:pPr>
              <w:widowControl/>
              <w:snapToGrid w:val="0"/>
              <w:ind w:firstLine="0" w:firstLineChars="0"/>
              <w:rPr>
                <w:rFonts w:hint="eastAsia" w:ascii="宋体" w:hAnsi="宋体" w:eastAsia="宋体" w:cs="宋体"/>
                <w:sz w:val="24"/>
                <w:szCs w:val="24"/>
              </w:rPr>
            </w:pPr>
          </w:p>
        </w:tc>
        <w:tc>
          <w:tcPr>
            <w:tcW w:w="320" w:type="pct"/>
            <w:vMerge w:val="continue"/>
            <w:vAlign w:val="center"/>
          </w:tcPr>
          <w:p w14:paraId="4FAF79EB">
            <w:pPr>
              <w:widowControl/>
              <w:snapToGrid w:val="0"/>
              <w:ind w:firstLine="0" w:firstLineChars="0"/>
              <w:rPr>
                <w:rFonts w:hint="eastAsia" w:ascii="宋体" w:hAnsi="宋体" w:eastAsia="宋体" w:cs="宋体"/>
                <w:sz w:val="24"/>
                <w:szCs w:val="24"/>
              </w:rPr>
            </w:pPr>
          </w:p>
        </w:tc>
      </w:tr>
      <w:tr w14:paraId="5F9E2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33" w:type="pct"/>
            <w:vMerge w:val="continue"/>
            <w:vAlign w:val="center"/>
          </w:tcPr>
          <w:p w14:paraId="507FEEBC">
            <w:pPr>
              <w:widowControl/>
              <w:snapToGrid w:val="0"/>
              <w:ind w:firstLine="0" w:firstLineChars="0"/>
              <w:rPr>
                <w:rFonts w:hint="eastAsia" w:ascii="宋体" w:hAnsi="宋体" w:eastAsia="宋体" w:cs="宋体"/>
                <w:sz w:val="24"/>
                <w:szCs w:val="24"/>
              </w:rPr>
            </w:pPr>
          </w:p>
        </w:tc>
        <w:tc>
          <w:tcPr>
            <w:tcW w:w="591" w:type="pct"/>
            <w:vAlign w:val="center"/>
          </w:tcPr>
          <w:p w14:paraId="56F682F4">
            <w:pPr>
              <w:ind w:firstLine="0" w:firstLineChars="0"/>
              <w:jc w:val="left"/>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综合管理会管模组</w:t>
            </w:r>
          </w:p>
        </w:tc>
        <w:tc>
          <w:tcPr>
            <w:tcW w:w="1607" w:type="pct"/>
            <w:vAlign w:val="center"/>
          </w:tcPr>
          <w:p w14:paraId="6573C8DA">
            <w:pPr>
              <w:spacing w:line="280" w:lineRule="exact"/>
              <w:ind w:firstLine="0" w:firstLineChars="0"/>
              <w:rPr>
                <w:rFonts w:hint="eastAsia" w:ascii="宋体" w:hAnsi="宋体" w:eastAsia="宋体" w:cs="宋体"/>
                <w:sz w:val="24"/>
                <w:szCs w:val="24"/>
              </w:rPr>
            </w:pPr>
            <w:r>
              <w:rPr>
                <w:rFonts w:hint="eastAsia" w:ascii="宋体" w:hAnsi="宋体" w:eastAsia="宋体" w:cs="宋体"/>
                <w:sz w:val="24"/>
                <w:szCs w:val="24"/>
              </w:rPr>
              <w:t>1.支持≥10000台设备管理，≥128台MCU资源池管理。</w:t>
            </w:r>
          </w:p>
          <w:p w14:paraId="25ED4623">
            <w:pPr>
              <w:spacing w:line="280" w:lineRule="exact"/>
              <w:ind w:firstLine="0" w:firstLineChars="0"/>
              <w:rPr>
                <w:rFonts w:hint="eastAsia" w:ascii="宋体" w:hAnsi="宋体" w:eastAsia="宋体" w:cs="宋体"/>
                <w:sz w:val="24"/>
                <w:szCs w:val="24"/>
              </w:rPr>
            </w:pPr>
            <w:r>
              <w:rPr>
                <w:rFonts w:hint="eastAsia" w:ascii="宋体" w:hAnsi="宋体" w:eastAsia="宋体" w:cs="宋体"/>
                <w:sz w:val="24"/>
                <w:szCs w:val="24"/>
              </w:rPr>
              <w:t>配备不少于150路硬终端注册、150路硬终端管理授权。含≥16路会议上墙授权注册。</w:t>
            </w:r>
          </w:p>
          <w:p w14:paraId="1AA8789F">
            <w:pPr>
              <w:spacing w:line="280" w:lineRule="exact"/>
              <w:ind w:firstLine="0" w:firstLineChars="0"/>
              <w:rPr>
                <w:rFonts w:hint="eastAsia" w:ascii="宋体" w:hAnsi="宋体" w:eastAsia="宋体" w:cs="宋体"/>
                <w:sz w:val="24"/>
                <w:szCs w:val="24"/>
              </w:rPr>
            </w:pPr>
            <w:r>
              <w:rPr>
                <w:rFonts w:hint="eastAsia" w:ascii="宋体" w:hAnsi="宋体" w:eastAsia="宋体" w:cs="宋体"/>
                <w:kern w:val="0"/>
                <w:sz w:val="24"/>
                <w:szCs w:val="24"/>
              </w:rPr>
              <w:t>2.支持IPv4协议、IPv6 协议、IPv4和IPv6协议混合组网，实现设备 GK/SIP 注册、呼叫、公私网穿越功能。</w:t>
            </w:r>
          </w:p>
          <w:p w14:paraId="4C281F50">
            <w:pPr>
              <w:spacing w:line="280" w:lineRule="exact"/>
              <w:ind w:firstLine="0" w:firstLineChars="0"/>
              <w:rPr>
                <w:rFonts w:hint="eastAsia" w:ascii="宋体" w:hAnsi="宋体" w:eastAsia="宋体" w:cs="宋体"/>
                <w:color w:val="000000"/>
                <w:kern w:val="0"/>
                <w:sz w:val="24"/>
                <w:szCs w:val="24"/>
              </w:rPr>
            </w:pPr>
            <w:r>
              <w:rPr>
                <w:rFonts w:hint="eastAsia" w:ascii="宋体" w:hAnsi="宋体" w:eastAsia="宋体" w:cs="宋体"/>
                <w:sz w:val="24"/>
                <w:szCs w:val="24"/>
              </w:rPr>
              <w:t>3.</w:t>
            </w:r>
            <w:r>
              <w:rPr>
                <w:rFonts w:hint="eastAsia" w:ascii="宋体" w:hAnsi="宋体" w:eastAsia="宋体" w:cs="宋体"/>
                <w:color w:val="000000"/>
                <w:kern w:val="0"/>
                <w:sz w:val="24"/>
                <w:szCs w:val="24"/>
              </w:rPr>
              <w:t>支持主席轮询、广播轮询、多画面轮询等功能，支持远端摄像机PTZ控制、远端会场扬声器音量调节、远端会场麦克风开关、远端会场视频开关等功能。</w:t>
            </w:r>
          </w:p>
          <w:p w14:paraId="61DA5DE4">
            <w:pPr>
              <w:spacing w:line="280" w:lineRule="exact"/>
              <w:ind w:firstLine="0" w:firstLineChars="0"/>
              <w:rPr>
                <w:rFonts w:hint="eastAsia" w:ascii="宋体" w:hAnsi="宋体" w:eastAsia="宋体" w:cs="宋体"/>
                <w:sz w:val="24"/>
                <w:szCs w:val="24"/>
              </w:rPr>
            </w:pPr>
            <w:r>
              <w:rPr>
                <w:rFonts w:hint="eastAsia" w:ascii="宋体" w:hAnsi="宋体" w:eastAsia="宋体" w:cs="宋体"/>
                <w:kern w:val="0"/>
                <w:sz w:val="24"/>
                <w:szCs w:val="24"/>
              </w:rPr>
              <w:t>4.无须提前配置会议模板或参数，支持根据级联会议观看需要，自动调整MCU级联通道数量，同时上传多路会场画面。</w:t>
            </w:r>
          </w:p>
        </w:tc>
        <w:tc>
          <w:tcPr>
            <w:tcW w:w="293" w:type="pct"/>
            <w:shd w:val="clear" w:color="000000" w:fill="FFFFFF"/>
            <w:vAlign w:val="center"/>
          </w:tcPr>
          <w:p w14:paraId="1150E5B9">
            <w:pPr>
              <w:widowControl/>
              <w:snapToGrid w:val="0"/>
              <w:ind w:firstLine="0" w:firstLineChars="0"/>
              <w:jc w:val="center"/>
              <w:rPr>
                <w:rFonts w:hint="eastAsia" w:ascii="宋体" w:hAnsi="宋体" w:eastAsia="宋体" w:cs="宋体"/>
                <w:sz w:val="24"/>
                <w:szCs w:val="24"/>
              </w:rPr>
            </w:pPr>
            <w:r>
              <w:rPr>
                <w:rFonts w:hint="eastAsia" w:ascii="宋体" w:hAnsi="宋体" w:eastAsia="宋体" w:cs="宋体"/>
                <w:sz w:val="24"/>
                <w:szCs w:val="24"/>
              </w:rPr>
              <w:t>套</w:t>
            </w:r>
          </w:p>
        </w:tc>
        <w:tc>
          <w:tcPr>
            <w:tcW w:w="275" w:type="pct"/>
            <w:shd w:val="clear" w:color="000000" w:fill="FFFFFF"/>
            <w:vAlign w:val="center"/>
          </w:tcPr>
          <w:p w14:paraId="6789A147">
            <w:pPr>
              <w:topLinePunct/>
              <w:adjustRightInd w:val="0"/>
              <w:snapToGrid w:val="0"/>
              <w:spacing w:line="240" w:lineRule="atLeast"/>
              <w:ind w:firstLine="0" w:firstLineChars="0"/>
              <w:jc w:val="center"/>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1</w:t>
            </w:r>
          </w:p>
        </w:tc>
        <w:tc>
          <w:tcPr>
            <w:tcW w:w="344" w:type="pct"/>
            <w:shd w:val="clear" w:color="auto" w:fill="FF0000"/>
            <w:vAlign w:val="center"/>
          </w:tcPr>
          <w:p w14:paraId="25FD0E0A">
            <w:pPr>
              <w:widowControl/>
              <w:snapToGrid w:val="0"/>
              <w:ind w:firstLine="0" w:firstLineChars="0"/>
              <w:rPr>
                <w:rFonts w:hint="eastAsia" w:ascii="宋体" w:hAnsi="宋体" w:eastAsia="宋体" w:cs="宋体"/>
                <w:sz w:val="24"/>
                <w:szCs w:val="24"/>
              </w:rPr>
            </w:pPr>
            <w:r>
              <w:rPr>
                <w:rFonts w:hint="eastAsia" w:ascii="宋体" w:hAnsi="宋体" w:eastAsia="宋体" w:cs="宋体"/>
                <w:sz w:val="24"/>
                <w:szCs w:val="24"/>
              </w:rPr>
              <w:t>接到供货通知后15日内</w:t>
            </w:r>
          </w:p>
        </w:tc>
        <w:tc>
          <w:tcPr>
            <w:tcW w:w="395" w:type="pct"/>
            <w:shd w:val="clear" w:color="auto" w:fill="auto"/>
            <w:vAlign w:val="center"/>
          </w:tcPr>
          <w:p w14:paraId="78106906">
            <w:pPr>
              <w:widowControl/>
              <w:snapToGrid w:val="0"/>
              <w:ind w:firstLine="0" w:firstLineChars="0"/>
              <w:jc w:val="center"/>
              <w:rPr>
                <w:rFonts w:hint="eastAsia" w:ascii="宋体" w:hAnsi="宋体" w:eastAsia="宋体" w:cs="宋体"/>
                <w:sz w:val="24"/>
                <w:szCs w:val="24"/>
              </w:rPr>
            </w:pPr>
            <w:r>
              <w:rPr>
                <w:rFonts w:hint="eastAsia" w:ascii="宋体" w:hAnsi="宋体" w:eastAsia="宋体" w:cs="宋体"/>
                <w:sz w:val="24"/>
                <w:szCs w:val="24"/>
              </w:rPr>
              <w:t>3年</w:t>
            </w:r>
          </w:p>
        </w:tc>
        <w:tc>
          <w:tcPr>
            <w:tcW w:w="320" w:type="pct"/>
            <w:vAlign w:val="center"/>
          </w:tcPr>
          <w:p w14:paraId="289A11C1">
            <w:pPr>
              <w:widowControl/>
              <w:snapToGrid w:val="0"/>
              <w:ind w:firstLine="0" w:firstLineChars="0"/>
              <w:rPr>
                <w:rFonts w:hint="eastAsia" w:ascii="宋体" w:hAnsi="宋体" w:eastAsia="宋体" w:cs="宋体"/>
                <w:sz w:val="24"/>
                <w:szCs w:val="24"/>
              </w:rPr>
            </w:pPr>
            <w:r>
              <w:rPr>
                <w:rFonts w:hint="eastAsia" w:ascii="宋体" w:hAnsi="宋体" w:eastAsia="宋体" w:cs="宋体"/>
                <w:sz w:val="24"/>
                <w:szCs w:val="24"/>
              </w:rPr>
              <w:t>买方指定地点</w:t>
            </w:r>
          </w:p>
        </w:tc>
        <w:tc>
          <w:tcPr>
            <w:tcW w:w="320" w:type="pct"/>
            <w:vMerge w:val="continue"/>
            <w:vAlign w:val="center"/>
          </w:tcPr>
          <w:p w14:paraId="1C42067C">
            <w:pPr>
              <w:widowControl/>
              <w:snapToGrid w:val="0"/>
              <w:ind w:firstLine="0" w:firstLineChars="0"/>
              <w:rPr>
                <w:rFonts w:hint="eastAsia" w:ascii="宋体" w:hAnsi="宋体" w:eastAsia="宋体" w:cs="宋体"/>
                <w:sz w:val="24"/>
                <w:szCs w:val="24"/>
              </w:rPr>
            </w:pPr>
          </w:p>
        </w:tc>
        <w:tc>
          <w:tcPr>
            <w:tcW w:w="320" w:type="pct"/>
            <w:vMerge w:val="continue"/>
            <w:vAlign w:val="center"/>
          </w:tcPr>
          <w:p w14:paraId="68C6E42B">
            <w:pPr>
              <w:widowControl/>
              <w:snapToGrid w:val="0"/>
              <w:ind w:firstLine="0" w:firstLineChars="0"/>
              <w:rPr>
                <w:rFonts w:hint="eastAsia" w:ascii="宋体" w:hAnsi="宋体" w:eastAsia="宋体" w:cs="宋体"/>
                <w:sz w:val="24"/>
                <w:szCs w:val="24"/>
              </w:rPr>
            </w:pPr>
          </w:p>
        </w:tc>
      </w:tr>
      <w:tr w14:paraId="3962E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6" w:hRule="atLeast"/>
          <w:jc w:val="center"/>
        </w:trPr>
        <w:tc>
          <w:tcPr>
            <w:tcW w:w="533" w:type="pct"/>
            <w:vMerge w:val="continue"/>
            <w:vAlign w:val="center"/>
          </w:tcPr>
          <w:p w14:paraId="76ADFF86">
            <w:pPr>
              <w:widowControl/>
              <w:snapToGrid w:val="0"/>
              <w:ind w:firstLine="0" w:firstLineChars="0"/>
              <w:rPr>
                <w:rFonts w:hint="eastAsia" w:ascii="宋体" w:hAnsi="宋体" w:eastAsia="宋体" w:cs="宋体"/>
                <w:sz w:val="24"/>
                <w:szCs w:val="24"/>
              </w:rPr>
            </w:pPr>
          </w:p>
        </w:tc>
        <w:tc>
          <w:tcPr>
            <w:tcW w:w="591" w:type="pct"/>
            <w:vAlign w:val="center"/>
          </w:tcPr>
          <w:p w14:paraId="0C30A5C1">
            <w:pPr>
              <w:ind w:firstLine="0" w:firstLineChars="0"/>
              <w:jc w:val="left"/>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综合管理安全管理模组</w:t>
            </w:r>
          </w:p>
        </w:tc>
        <w:tc>
          <w:tcPr>
            <w:tcW w:w="1607" w:type="pct"/>
            <w:vAlign w:val="center"/>
          </w:tcPr>
          <w:p w14:paraId="564DEF62">
            <w:pPr>
              <w:spacing w:line="280" w:lineRule="exact"/>
              <w:ind w:firstLine="0" w:firstLineChars="0"/>
              <w:rPr>
                <w:rFonts w:hint="eastAsia" w:ascii="宋体" w:hAnsi="宋体" w:eastAsia="宋体" w:cs="宋体"/>
                <w:kern w:val="0"/>
                <w:sz w:val="24"/>
                <w:szCs w:val="24"/>
              </w:rPr>
            </w:pPr>
            <w:r>
              <w:rPr>
                <w:rFonts w:hint="eastAsia" w:ascii="宋体" w:hAnsi="宋体" w:eastAsia="宋体" w:cs="宋体"/>
                <w:kern w:val="0"/>
                <w:sz w:val="24"/>
                <w:szCs w:val="24"/>
              </w:rPr>
              <w:t>1.支持按用户组织构架管理，上级域可对下级域统一管理，下级域可独立管理；不同用户域之间互不可见，可管理各自的子组织、账号和会议。</w:t>
            </w:r>
          </w:p>
          <w:p w14:paraId="06E5655C">
            <w:pPr>
              <w:spacing w:line="280" w:lineRule="exact"/>
              <w:ind w:firstLine="0" w:firstLineChars="0"/>
              <w:rPr>
                <w:rFonts w:hint="eastAsia" w:ascii="宋体" w:hAnsi="宋体" w:eastAsia="宋体" w:cs="宋体"/>
                <w:kern w:val="0"/>
                <w:sz w:val="24"/>
                <w:szCs w:val="24"/>
              </w:rPr>
            </w:pPr>
            <w:r>
              <w:rPr>
                <w:rFonts w:hint="eastAsia" w:ascii="宋体" w:hAnsi="宋体" w:eastAsia="宋体" w:cs="宋体"/>
                <w:kern w:val="0"/>
                <w:sz w:val="24"/>
                <w:szCs w:val="24"/>
              </w:rPr>
              <w:t>2.支持TR069协议，实现平台对终端设备自动配置下发、软件升级、状态监测、故障告警及诊断等功能。</w:t>
            </w:r>
          </w:p>
          <w:p w14:paraId="1A31FBD7">
            <w:pPr>
              <w:spacing w:line="280" w:lineRule="exact"/>
              <w:ind w:firstLine="0" w:firstLineChars="0"/>
              <w:rPr>
                <w:rFonts w:hint="eastAsia" w:ascii="宋体" w:hAnsi="宋体" w:eastAsia="宋体" w:cs="宋体"/>
                <w:sz w:val="24"/>
                <w:szCs w:val="24"/>
              </w:rPr>
            </w:pPr>
            <w:r>
              <w:rPr>
                <w:rFonts w:hint="eastAsia" w:ascii="宋体" w:hAnsi="宋体" w:eastAsia="宋体" w:cs="宋体"/>
                <w:kern w:val="0"/>
                <w:sz w:val="24"/>
                <w:szCs w:val="24"/>
              </w:rPr>
              <w:t>3.支持终端备份功能，会议过程中主用终端发生故障时，会议自动切换到备用终端，备份终端不会额外占用MCU端口资源。</w:t>
            </w:r>
          </w:p>
        </w:tc>
        <w:tc>
          <w:tcPr>
            <w:tcW w:w="293" w:type="pct"/>
            <w:shd w:val="clear" w:color="000000" w:fill="FFFFFF"/>
            <w:vAlign w:val="center"/>
          </w:tcPr>
          <w:p w14:paraId="0A97151D">
            <w:pPr>
              <w:widowControl/>
              <w:snapToGrid w:val="0"/>
              <w:ind w:firstLine="0" w:firstLineChars="0"/>
              <w:jc w:val="center"/>
              <w:rPr>
                <w:rFonts w:hint="eastAsia" w:ascii="宋体" w:hAnsi="宋体" w:eastAsia="宋体" w:cs="宋体"/>
                <w:sz w:val="24"/>
                <w:szCs w:val="24"/>
              </w:rPr>
            </w:pPr>
            <w:r>
              <w:rPr>
                <w:rFonts w:hint="eastAsia" w:ascii="宋体" w:hAnsi="宋体" w:eastAsia="宋体" w:cs="宋体"/>
                <w:sz w:val="24"/>
                <w:szCs w:val="24"/>
              </w:rPr>
              <w:t>套</w:t>
            </w:r>
          </w:p>
        </w:tc>
        <w:tc>
          <w:tcPr>
            <w:tcW w:w="275" w:type="pct"/>
            <w:shd w:val="clear" w:color="000000" w:fill="FFFFFF"/>
            <w:vAlign w:val="center"/>
          </w:tcPr>
          <w:p w14:paraId="6111C13D">
            <w:pPr>
              <w:topLinePunct/>
              <w:adjustRightInd w:val="0"/>
              <w:snapToGrid w:val="0"/>
              <w:spacing w:line="240" w:lineRule="atLeast"/>
              <w:ind w:firstLine="0" w:firstLineChars="0"/>
              <w:jc w:val="center"/>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1</w:t>
            </w:r>
          </w:p>
        </w:tc>
        <w:tc>
          <w:tcPr>
            <w:tcW w:w="344" w:type="pct"/>
            <w:shd w:val="clear" w:color="auto" w:fill="FF0000"/>
            <w:vAlign w:val="center"/>
          </w:tcPr>
          <w:p w14:paraId="012F3AD9">
            <w:pPr>
              <w:widowControl/>
              <w:snapToGrid w:val="0"/>
              <w:ind w:firstLine="0" w:firstLineChars="0"/>
              <w:rPr>
                <w:rFonts w:hint="eastAsia" w:ascii="宋体" w:hAnsi="宋体" w:eastAsia="宋体" w:cs="宋体"/>
                <w:sz w:val="24"/>
                <w:szCs w:val="24"/>
              </w:rPr>
            </w:pPr>
            <w:r>
              <w:rPr>
                <w:rFonts w:hint="eastAsia" w:ascii="宋体" w:hAnsi="宋体" w:eastAsia="宋体" w:cs="宋体"/>
                <w:sz w:val="24"/>
                <w:szCs w:val="24"/>
              </w:rPr>
              <w:t>接到供货通知后15日内</w:t>
            </w:r>
          </w:p>
        </w:tc>
        <w:tc>
          <w:tcPr>
            <w:tcW w:w="395" w:type="pct"/>
            <w:shd w:val="clear" w:color="auto" w:fill="auto"/>
            <w:vAlign w:val="center"/>
          </w:tcPr>
          <w:p w14:paraId="0BF149B6">
            <w:pPr>
              <w:widowControl/>
              <w:snapToGrid w:val="0"/>
              <w:ind w:firstLine="0" w:firstLineChars="0"/>
              <w:jc w:val="center"/>
              <w:rPr>
                <w:rFonts w:hint="eastAsia" w:ascii="宋体" w:hAnsi="宋体" w:eastAsia="宋体" w:cs="宋体"/>
                <w:sz w:val="24"/>
                <w:szCs w:val="24"/>
              </w:rPr>
            </w:pPr>
            <w:r>
              <w:rPr>
                <w:rFonts w:hint="eastAsia" w:ascii="宋体" w:hAnsi="宋体" w:eastAsia="宋体" w:cs="宋体"/>
                <w:sz w:val="24"/>
                <w:szCs w:val="24"/>
              </w:rPr>
              <w:t>3年</w:t>
            </w:r>
          </w:p>
        </w:tc>
        <w:tc>
          <w:tcPr>
            <w:tcW w:w="320" w:type="pct"/>
            <w:vAlign w:val="center"/>
          </w:tcPr>
          <w:p w14:paraId="42A58B68">
            <w:pPr>
              <w:widowControl/>
              <w:snapToGrid w:val="0"/>
              <w:ind w:firstLine="0" w:firstLineChars="0"/>
              <w:rPr>
                <w:rFonts w:hint="eastAsia" w:ascii="宋体" w:hAnsi="宋体" w:eastAsia="宋体" w:cs="宋体"/>
                <w:sz w:val="24"/>
                <w:szCs w:val="24"/>
              </w:rPr>
            </w:pPr>
            <w:r>
              <w:rPr>
                <w:rFonts w:hint="eastAsia" w:ascii="宋体" w:hAnsi="宋体" w:eastAsia="宋体" w:cs="宋体"/>
                <w:sz w:val="24"/>
                <w:szCs w:val="24"/>
              </w:rPr>
              <w:t>买方指定地点</w:t>
            </w:r>
          </w:p>
        </w:tc>
        <w:tc>
          <w:tcPr>
            <w:tcW w:w="320" w:type="pct"/>
            <w:vMerge w:val="continue"/>
            <w:vAlign w:val="center"/>
          </w:tcPr>
          <w:p w14:paraId="54012F24">
            <w:pPr>
              <w:widowControl/>
              <w:snapToGrid w:val="0"/>
              <w:ind w:firstLine="0" w:firstLineChars="0"/>
              <w:rPr>
                <w:rFonts w:hint="eastAsia" w:ascii="宋体" w:hAnsi="宋体" w:eastAsia="宋体" w:cs="宋体"/>
                <w:sz w:val="24"/>
                <w:szCs w:val="24"/>
              </w:rPr>
            </w:pPr>
          </w:p>
        </w:tc>
        <w:tc>
          <w:tcPr>
            <w:tcW w:w="320" w:type="pct"/>
            <w:vMerge w:val="continue"/>
            <w:vAlign w:val="center"/>
          </w:tcPr>
          <w:p w14:paraId="76187C1B">
            <w:pPr>
              <w:widowControl/>
              <w:snapToGrid w:val="0"/>
              <w:ind w:firstLine="0" w:firstLineChars="0"/>
              <w:rPr>
                <w:rFonts w:hint="eastAsia" w:ascii="宋体" w:hAnsi="宋体" w:eastAsia="宋体" w:cs="宋体"/>
                <w:sz w:val="24"/>
                <w:szCs w:val="24"/>
              </w:rPr>
            </w:pPr>
          </w:p>
        </w:tc>
      </w:tr>
      <w:tr w14:paraId="363A4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6" w:hRule="atLeast"/>
          <w:jc w:val="center"/>
        </w:trPr>
        <w:tc>
          <w:tcPr>
            <w:tcW w:w="533" w:type="pct"/>
            <w:vMerge w:val="continue"/>
            <w:vAlign w:val="center"/>
          </w:tcPr>
          <w:p w14:paraId="6E6521B4">
            <w:pPr>
              <w:widowControl/>
              <w:snapToGrid w:val="0"/>
              <w:ind w:firstLine="0" w:firstLineChars="0"/>
              <w:rPr>
                <w:rFonts w:hint="eastAsia" w:ascii="宋体" w:hAnsi="宋体" w:eastAsia="宋体" w:cs="宋体"/>
                <w:sz w:val="24"/>
                <w:szCs w:val="24"/>
              </w:rPr>
            </w:pPr>
          </w:p>
        </w:tc>
        <w:tc>
          <w:tcPr>
            <w:tcW w:w="591" w:type="pct"/>
            <w:vAlign w:val="center"/>
          </w:tcPr>
          <w:p w14:paraId="38CAF565">
            <w:pPr>
              <w:ind w:firstLine="0" w:firstLineChars="0"/>
              <w:jc w:val="left"/>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综合管理会议上墙模组</w:t>
            </w:r>
          </w:p>
        </w:tc>
        <w:tc>
          <w:tcPr>
            <w:tcW w:w="1607" w:type="pct"/>
            <w:vAlign w:val="center"/>
          </w:tcPr>
          <w:p w14:paraId="5CEC9F7C">
            <w:pPr>
              <w:spacing w:line="280" w:lineRule="exact"/>
              <w:ind w:firstLine="0" w:firstLineChars="0"/>
              <w:rPr>
                <w:rFonts w:hint="eastAsia" w:ascii="宋体" w:hAnsi="宋体" w:eastAsia="宋体" w:cs="宋体"/>
                <w:sz w:val="24"/>
                <w:szCs w:val="24"/>
              </w:rPr>
            </w:pPr>
            <w:r>
              <w:rPr>
                <w:rFonts w:hint="eastAsia" w:ascii="宋体" w:hAnsi="宋体" w:eastAsia="宋体" w:cs="宋体"/>
                <w:sz w:val="24"/>
                <w:szCs w:val="24"/>
              </w:rPr>
              <w:t>1.支持通过会议管理软件对电视墙输出进行控制，包括会场画面选看、会议多画面跟随、发言人跟随、辅流跟随、会议轮询跟随等观看模式。</w:t>
            </w:r>
          </w:p>
          <w:p w14:paraId="5442A3D6">
            <w:pPr>
              <w:spacing w:line="280" w:lineRule="exact"/>
              <w:ind w:firstLine="0" w:firstLineChars="0"/>
              <w:rPr>
                <w:rFonts w:hint="eastAsia" w:ascii="宋体" w:hAnsi="宋体" w:eastAsia="宋体" w:cs="宋体"/>
                <w:sz w:val="24"/>
                <w:szCs w:val="24"/>
              </w:rPr>
            </w:pPr>
            <w:r>
              <w:rPr>
                <w:rFonts w:hint="eastAsia" w:ascii="宋体" w:hAnsi="宋体" w:eastAsia="宋体" w:cs="宋体"/>
                <w:sz w:val="24"/>
                <w:szCs w:val="24"/>
              </w:rPr>
              <w:t>2.支持通过局域网和互联网接入的H.323/SIP会议终端，解码上墙观看。</w:t>
            </w:r>
          </w:p>
        </w:tc>
        <w:tc>
          <w:tcPr>
            <w:tcW w:w="293" w:type="pct"/>
            <w:shd w:val="clear" w:color="000000" w:fill="FFFFFF"/>
            <w:vAlign w:val="center"/>
          </w:tcPr>
          <w:p w14:paraId="1B943338">
            <w:pPr>
              <w:widowControl/>
              <w:snapToGrid w:val="0"/>
              <w:ind w:firstLine="0" w:firstLineChars="0"/>
              <w:jc w:val="center"/>
              <w:rPr>
                <w:rFonts w:hint="eastAsia" w:ascii="宋体" w:hAnsi="宋体" w:eastAsia="宋体" w:cs="宋体"/>
                <w:sz w:val="24"/>
                <w:szCs w:val="24"/>
              </w:rPr>
            </w:pPr>
            <w:r>
              <w:rPr>
                <w:rFonts w:hint="eastAsia" w:ascii="宋体" w:hAnsi="宋体" w:eastAsia="宋体" w:cs="宋体"/>
                <w:sz w:val="24"/>
                <w:szCs w:val="24"/>
              </w:rPr>
              <w:t>套</w:t>
            </w:r>
          </w:p>
        </w:tc>
        <w:tc>
          <w:tcPr>
            <w:tcW w:w="275" w:type="pct"/>
            <w:shd w:val="clear" w:color="000000" w:fill="FFFFFF"/>
            <w:vAlign w:val="center"/>
          </w:tcPr>
          <w:p w14:paraId="1F7DA318">
            <w:pPr>
              <w:topLinePunct/>
              <w:adjustRightInd w:val="0"/>
              <w:snapToGrid w:val="0"/>
              <w:spacing w:line="240" w:lineRule="atLeast"/>
              <w:ind w:firstLine="0" w:firstLineChars="0"/>
              <w:jc w:val="center"/>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1</w:t>
            </w:r>
          </w:p>
        </w:tc>
        <w:tc>
          <w:tcPr>
            <w:tcW w:w="344" w:type="pct"/>
            <w:shd w:val="clear" w:color="auto" w:fill="FF0000"/>
            <w:vAlign w:val="center"/>
          </w:tcPr>
          <w:p w14:paraId="31E68897">
            <w:pPr>
              <w:widowControl/>
              <w:snapToGrid w:val="0"/>
              <w:ind w:firstLine="0" w:firstLineChars="0"/>
              <w:rPr>
                <w:rFonts w:hint="eastAsia" w:ascii="宋体" w:hAnsi="宋体" w:eastAsia="宋体" w:cs="宋体"/>
                <w:sz w:val="24"/>
                <w:szCs w:val="24"/>
              </w:rPr>
            </w:pPr>
            <w:r>
              <w:rPr>
                <w:rFonts w:hint="eastAsia" w:ascii="宋体" w:hAnsi="宋体" w:eastAsia="宋体" w:cs="宋体"/>
                <w:sz w:val="24"/>
                <w:szCs w:val="24"/>
              </w:rPr>
              <w:t>接到供货通知后15日内</w:t>
            </w:r>
          </w:p>
        </w:tc>
        <w:tc>
          <w:tcPr>
            <w:tcW w:w="395" w:type="pct"/>
            <w:shd w:val="clear" w:color="auto" w:fill="auto"/>
            <w:vAlign w:val="center"/>
          </w:tcPr>
          <w:p w14:paraId="7412DD86">
            <w:pPr>
              <w:widowControl/>
              <w:snapToGrid w:val="0"/>
              <w:ind w:firstLine="0" w:firstLineChars="0"/>
              <w:jc w:val="center"/>
              <w:rPr>
                <w:rFonts w:hint="eastAsia" w:ascii="宋体" w:hAnsi="宋体" w:eastAsia="宋体" w:cs="宋体"/>
                <w:sz w:val="24"/>
                <w:szCs w:val="24"/>
              </w:rPr>
            </w:pPr>
            <w:r>
              <w:rPr>
                <w:rFonts w:hint="eastAsia" w:ascii="宋体" w:hAnsi="宋体" w:eastAsia="宋体" w:cs="宋体"/>
                <w:sz w:val="24"/>
                <w:szCs w:val="24"/>
              </w:rPr>
              <w:t>3年</w:t>
            </w:r>
          </w:p>
        </w:tc>
        <w:tc>
          <w:tcPr>
            <w:tcW w:w="320" w:type="pct"/>
            <w:vAlign w:val="center"/>
          </w:tcPr>
          <w:p w14:paraId="12C94143">
            <w:pPr>
              <w:widowControl/>
              <w:snapToGrid w:val="0"/>
              <w:ind w:firstLine="0" w:firstLineChars="0"/>
              <w:rPr>
                <w:rFonts w:hint="eastAsia" w:ascii="宋体" w:hAnsi="宋体" w:eastAsia="宋体" w:cs="宋体"/>
                <w:sz w:val="24"/>
                <w:szCs w:val="24"/>
              </w:rPr>
            </w:pPr>
            <w:r>
              <w:rPr>
                <w:rFonts w:hint="eastAsia" w:ascii="宋体" w:hAnsi="宋体" w:eastAsia="宋体" w:cs="宋体"/>
                <w:sz w:val="24"/>
                <w:szCs w:val="24"/>
              </w:rPr>
              <w:t>买方指定地点</w:t>
            </w:r>
          </w:p>
        </w:tc>
        <w:tc>
          <w:tcPr>
            <w:tcW w:w="320" w:type="pct"/>
            <w:vMerge w:val="continue"/>
            <w:vAlign w:val="center"/>
          </w:tcPr>
          <w:p w14:paraId="49735C45">
            <w:pPr>
              <w:widowControl/>
              <w:snapToGrid w:val="0"/>
              <w:ind w:firstLine="0" w:firstLineChars="0"/>
              <w:rPr>
                <w:rFonts w:hint="eastAsia" w:ascii="宋体" w:hAnsi="宋体" w:eastAsia="宋体" w:cs="宋体"/>
                <w:sz w:val="24"/>
                <w:szCs w:val="24"/>
              </w:rPr>
            </w:pPr>
          </w:p>
        </w:tc>
        <w:tc>
          <w:tcPr>
            <w:tcW w:w="320" w:type="pct"/>
            <w:vMerge w:val="continue"/>
            <w:vAlign w:val="center"/>
          </w:tcPr>
          <w:p w14:paraId="24F73088">
            <w:pPr>
              <w:widowControl/>
              <w:snapToGrid w:val="0"/>
              <w:ind w:firstLine="0" w:firstLineChars="0"/>
              <w:rPr>
                <w:rFonts w:hint="eastAsia" w:ascii="宋体" w:hAnsi="宋体" w:eastAsia="宋体" w:cs="宋体"/>
                <w:sz w:val="24"/>
                <w:szCs w:val="24"/>
              </w:rPr>
            </w:pPr>
          </w:p>
        </w:tc>
      </w:tr>
      <w:tr w14:paraId="12E2E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33" w:type="pct"/>
            <w:vMerge w:val="continue"/>
            <w:vAlign w:val="center"/>
          </w:tcPr>
          <w:p w14:paraId="28CDFAF5">
            <w:pPr>
              <w:widowControl/>
              <w:snapToGrid w:val="0"/>
              <w:ind w:firstLine="0" w:firstLineChars="0"/>
              <w:rPr>
                <w:rFonts w:hint="eastAsia" w:ascii="宋体" w:hAnsi="宋体" w:eastAsia="宋体" w:cs="宋体"/>
                <w:sz w:val="24"/>
                <w:szCs w:val="24"/>
              </w:rPr>
            </w:pPr>
          </w:p>
        </w:tc>
        <w:tc>
          <w:tcPr>
            <w:tcW w:w="591" w:type="pct"/>
            <w:vAlign w:val="center"/>
          </w:tcPr>
          <w:p w14:paraId="01215D74">
            <w:pPr>
              <w:ind w:firstLine="0" w:firstLineChars="0"/>
              <w:jc w:val="left"/>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编解码器平台模组</w:t>
            </w:r>
          </w:p>
        </w:tc>
        <w:tc>
          <w:tcPr>
            <w:tcW w:w="1607" w:type="pct"/>
            <w:vAlign w:val="center"/>
          </w:tcPr>
          <w:p w14:paraId="510CAF49">
            <w:pPr>
              <w:spacing w:line="280" w:lineRule="exact"/>
              <w:ind w:firstLine="0" w:firstLineChars="0"/>
              <w:rPr>
                <w:rFonts w:hint="eastAsia" w:ascii="宋体" w:hAnsi="宋体" w:eastAsia="宋体" w:cs="宋体"/>
                <w:sz w:val="24"/>
                <w:szCs w:val="24"/>
              </w:rPr>
            </w:pPr>
            <w:r>
              <w:rPr>
                <w:rFonts w:hint="eastAsia" w:ascii="宋体" w:hAnsi="宋体" w:eastAsia="宋体" w:cs="宋体"/>
                <w:sz w:val="24"/>
                <w:szCs w:val="24"/>
              </w:rPr>
              <w:t>1.机身规格：1.5U机架式，整机尺寸440mm×408mm×70mm；供电100–240VAC 50/60Hz，整机功耗≤160W；工作温度-10℃~+55℃，湿度10%~95% RH 无凝露；净重5.7~6.0kg</w:t>
            </w:r>
          </w:p>
          <w:p w14:paraId="525ED857">
            <w:pPr>
              <w:spacing w:line="280" w:lineRule="exact"/>
              <w:ind w:firstLine="0" w:firstLineChars="0"/>
              <w:rPr>
                <w:rFonts w:hint="eastAsia" w:ascii="宋体" w:hAnsi="宋体" w:eastAsia="宋体" w:cs="宋体"/>
                <w:sz w:val="24"/>
                <w:szCs w:val="24"/>
              </w:rPr>
            </w:pPr>
            <w:r>
              <w:rPr>
                <w:rFonts w:hint="eastAsia" w:ascii="宋体" w:hAnsi="宋体" w:eastAsia="宋体" w:cs="宋体"/>
                <w:sz w:val="24"/>
                <w:szCs w:val="24"/>
              </w:rPr>
              <w:t>2.系统：嵌入式Linux，高性能嵌入式处理器</w:t>
            </w:r>
          </w:p>
        </w:tc>
        <w:tc>
          <w:tcPr>
            <w:tcW w:w="293" w:type="pct"/>
            <w:shd w:val="clear" w:color="000000" w:fill="FFFFFF"/>
            <w:vAlign w:val="center"/>
          </w:tcPr>
          <w:p w14:paraId="1B9E66D6">
            <w:pPr>
              <w:widowControl/>
              <w:snapToGrid w:val="0"/>
              <w:ind w:firstLine="0" w:firstLineChars="0"/>
              <w:jc w:val="center"/>
              <w:rPr>
                <w:rFonts w:hint="eastAsia" w:ascii="宋体" w:hAnsi="宋体" w:eastAsia="宋体" w:cs="宋体"/>
                <w:sz w:val="24"/>
                <w:szCs w:val="24"/>
              </w:rPr>
            </w:pPr>
            <w:r>
              <w:rPr>
                <w:rFonts w:hint="eastAsia" w:ascii="宋体" w:hAnsi="宋体" w:eastAsia="宋体" w:cs="宋体"/>
                <w:sz w:val="24"/>
                <w:szCs w:val="24"/>
              </w:rPr>
              <w:t>套</w:t>
            </w:r>
          </w:p>
        </w:tc>
        <w:tc>
          <w:tcPr>
            <w:tcW w:w="275" w:type="pct"/>
            <w:shd w:val="clear" w:color="000000" w:fill="FFFFFF"/>
            <w:vAlign w:val="center"/>
          </w:tcPr>
          <w:p w14:paraId="26DBE26E">
            <w:pPr>
              <w:topLinePunct/>
              <w:adjustRightInd w:val="0"/>
              <w:snapToGrid w:val="0"/>
              <w:spacing w:line="240" w:lineRule="atLeast"/>
              <w:ind w:firstLine="0" w:firstLineChars="0"/>
              <w:jc w:val="center"/>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2</w:t>
            </w:r>
          </w:p>
        </w:tc>
        <w:tc>
          <w:tcPr>
            <w:tcW w:w="344" w:type="pct"/>
            <w:shd w:val="clear" w:color="auto" w:fill="FF0000"/>
            <w:vAlign w:val="center"/>
          </w:tcPr>
          <w:p w14:paraId="5C8A62C3">
            <w:pPr>
              <w:widowControl/>
              <w:snapToGrid w:val="0"/>
              <w:ind w:firstLine="0" w:firstLineChars="0"/>
              <w:rPr>
                <w:rFonts w:hint="eastAsia" w:ascii="宋体" w:hAnsi="宋体" w:eastAsia="宋体" w:cs="宋体"/>
                <w:sz w:val="24"/>
                <w:szCs w:val="24"/>
              </w:rPr>
            </w:pPr>
            <w:r>
              <w:rPr>
                <w:rFonts w:hint="eastAsia" w:ascii="宋体" w:hAnsi="宋体" w:eastAsia="宋体" w:cs="宋体"/>
                <w:sz w:val="24"/>
                <w:szCs w:val="24"/>
              </w:rPr>
              <w:t>接到供货通知后15日内</w:t>
            </w:r>
          </w:p>
        </w:tc>
        <w:tc>
          <w:tcPr>
            <w:tcW w:w="395" w:type="pct"/>
            <w:shd w:val="clear" w:color="auto" w:fill="auto"/>
            <w:vAlign w:val="center"/>
          </w:tcPr>
          <w:p w14:paraId="43FBB3A6">
            <w:pPr>
              <w:widowControl/>
              <w:snapToGrid w:val="0"/>
              <w:ind w:firstLine="0" w:firstLineChars="0"/>
              <w:jc w:val="center"/>
              <w:rPr>
                <w:rFonts w:hint="eastAsia" w:ascii="宋体" w:hAnsi="宋体" w:eastAsia="宋体" w:cs="宋体"/>
                <w:sz w:val="24"/>
                <w:szCs w:val="24"/>
              </w:rPr>
            </w:pPr>
            <w:r>
              <w:rPr>
                <w:rFonts w:hint="eastAsia" w:ascii="宋体" w:hAnsi="宋体" w:eastAsia="宋体" w:cs="宋体"/>
                <w:sz w:val="24"/>
                <w:szCs w:val="24"/>
              </w:rPr>
              <w:t>3年</w:t>
            </w:r>
          </w:p>
        </w:tc>
        <w:tc>
          <w:tcPr>
            <w:tcW w:w="320" w:type="pct"/>
            <w:vAlign w:val="center"/>
          </w:tcPr>
          <w:p w14:paraId="2A27B4DB">
            <w:pPr>
              <w:widowControl/>
              <w:snapToGrid w:val="0"/>
              <w:ind w:firstLine="0" w:firstLineChars="0"/>
              <w:rPr>
                <w:rFonts w:hint="eastAsia" w:ascii="宋体" w:hAnsi="宋体" w:eastAsia="宋体" w:cs="宋体"/>
                <w:sz w:val="24"/>
                <w:szCs w:val="24"/>
              </w:rPr>
            </w:pPr>
            <w:r>
              <w:rPr>
                <w:rFonts w:hint="eastAsia" w:ascii="宋体" w:hAnsi="宋体" w:eastAsia="宋体" w:cs="宋体"/>
                <w:sz w:val="24"/>
                <w:szCs w:val="24"/>
              </w:rPr>
              <w:t>买方指定地点</w:t>
            </w:r>
          </w:p>
        </w:tc>
        <w:tc>
          <w:tcPr>
            <w:tcW w:w="320" w:type="pct"/>
            <w:vMerge w:val="continue"/>
            <w:vAlign w:val="center"/>
          </w:tcPr>
          <w:p w14:paraId="77DB702A">
            <w:pPr>
              <w:widowControl/>
              <w:snapToGrid w:val="0"/>
              <w:ind w:firstLine="0" w:firstLineChars="0"/>
              <w:rPr>
                <w:rFonts w:hint="eastAsia" w:ascii="宋体" w:hAnsi="宋体" w:eastAsia="宋体" w:cs="宋体"/>
                <w:sz w:val="24"/>
                <w:szCs w:val="24"/>
              </w:rPr>
            </w:pPr>
          </w:p>
        </w:tc>
        <w:tc>
          <w:tcPr>
            <w:tcW w:w="320" w:type="pct"/>
            <w:vMerge w:val="continue"/>
            <w:vAlign w:val="center"/>
          </w:tcPr>
          <w:p w14:paraId="4DD57B72">
            <w:pPr>
              <w:widowControl/>
              <w:snapToGrid w:val="0"/>
              <w:ind w:firstLine="0" w:firstLineChars="0"/>
              <w:rPr>
                <w:rFonts w:hint="eastAsia" w:ascii="宋体" w:hAnsi="宋体" w:eastAsia="宋体" w:cs="宋体"/>
                <w:sz w:val="24"/>
                <w:szCs w:val="24"/>
              </w:rPr>
            </w:pPr>
          </w:p>
        </w:tc>
      </w:tr>
      <w:tr w14:paraId="333BD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33" w:type="pct"/>
            <w:vMerge w:val="continue"/>
            <w:vAlign w:val="center"/>
          </w:tcPr>
          <w:p w14:paraId="7722ADDA">
            <w:pPr>
              <w:widowControl/>
              <w:snapToGrid w:val="0"/>
              <w:ind w:firstLine="0" w:firstLineChars="0"/>
              <w:rPr>
                <w:rFonts w:hint="eastAsia" w:ascii="宋体" w:hAnsi="宋体" w:eastAsia="宋体" w:cs="宋体"/>
                <w:sz w:val="24"/>
                <w:szCs w:val="24"/>
              </w:rPr>
            </w:pPr>
          </w:p>
        </w:tc>
        <w:tc>
          <w:tcPr>
            <w:tcW w:w="591" w:type="pct"/>
            <w:vAlign w:val="center"/>
          </w:tcPr>
          <w:p w14:paraId="08748813">
            <w:pPr>
              <w:ind w:firstLine="0" w:firstLineChars="0"/>
              <w:jc w:val="left"/>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编解码器解码模组</w:t>
            </w:r>
          </w:p>
        </w:tc>
        <w:tc>
          <w:tcPr>
            <w:tcW w:w="1607" w:type="pct"/>
            <w:vAlign w:val="center"/>
          </w:tcPr>
          <w:p w14:paraId="7994E863">
            <w:pPr>
              <w:spacing w:line="280" w:lineRule="exact"/>
              <w:ind w:firstLine="0" w:firstLineChars="0"/>
              <w:rPr>
                <w:rFonts w:hint="eastAsia" w:ascii="宋体" w:hAnsi="宋体" w:eastAsia="宋体" w:cs="宋体"/>
                <w:sz w:val="24"/>
                <w:szCs w:val="24"/>
              </w:rPr>
            </w:pPr>
            <w:r>
              <w:rPr>
                <w:rFonts w:hint="eastAsia" w:ascii="宋体" w:hAnsi="宋体" w:eastAsia="宋体" w:cs="宋体"/>
                <w:sz w:val="24"/>
                <w:szCs w:val="24"/>
              </w:rPr>
              <w:t>1. 解码性能：整机最高支持 3 路 8K@60 或 108 路 1080P@30 并发解码；全规格解码：10 路 32MP@25fps (H.265 专属)/35 路 12MP/50 路 8MP/70 路 6MP/90 路 5MP/90 路 4MP/140 路 3MP/180 路 1080P/500 路 D1；支持 MPEG2/MPEG4/H.264/H.265/SVAC/MJPEG 解码，兼容 QCIF~32MP 全分辨率</w:t>
            </w:r>
          </w:p>
        </w:tc>
        <w:tc>
          <w:tcPr>
            <w:tcW w:w="293" w:type="pct"/>
            <w:shd w:val="clear" w:color="000000" w:fill="FFFFFF"/>
            <w:vAlign w:val="center"/>
          </w:tcPr>
          <w:p w14:paraId="60A4139A">
            <w:pPr>
              <w:widowControl/>
              <w:snapToGrid w:val="0"/>
              <w:ind w:firstLine="0" w:firstLineChars="0"/>
              <w:jc w:val="center"/>
              <w:rPr>
                <w:rFonts w:hint="eastAsia" w:ascii="宋体" w:hAnsi="宋体" w:eastAsia="宋体" w:cs="宋体"/>
                <w:sz w:val="24"/>
                <w:szCs w:val="24"/>
              </w:rPr>
            </w:pPr>
            <w:r>
              <w:rPr>
                <w:rFonts w:hint="eastAsia" w:ascii="宋体" w:hAnsi="宋体" w:eastAsia="宋体" w:cs="宋体"/>
                <w:sz w:val="24"/>
                <w:szCs w:val="24"/>
              </w:rPr>
              <w:t>套</w:t>
            </w:r>
          </w:p>
        </w:tc>
        <w:tc>
          <w:tcPr>
            <w:tcW w:w="275" w:type="pct"/>
            <w:shd w:val="clear" w:color="000000" w:fill="FFFFFF"/>
            <w:vAlign w:val="center"/>
          </w:tcPr>
          <w:p w14:paraId="1190DBAE">
            <w:pPr>
              <w:topLinePunct/>
              <w:adjustRightInd w:val="0"/>
              <w:snapToGrid w:val="0"/>
              <w:spacing w:line="240" w:lineRule="atLeast"/>
              <w:ind w:firstLine="0" w:firstLineChars="0"/>
              <w:jc w:val="center"/>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2</w:t>
            </w:r>
          </w:p>
        </w:tc>
        <w:tc>
          <w:tcPr>
            <w:tcW w:w="344" w:type="pct"/>
            <w:shd w:val="clear" w:color="auto" w:fill="FF0000"/>
            <w:vAlign w:val="center"/>
          </w:tcPr>
          <w:p w14:paraId="7D4868CA">
            <w:pPr>
              <w:widowControl/>
              <w:snapToGrid w:val="0"/>
              <w:ind w:firstLine="0" w:firstLineChars="0"/>
              <w:rPr>
                <w:rFonts w:hint="eastAsia" w:ascii="宋体" w:hAnsi="宋体" w:eastAsia="宋体" w:cs="宋体"/>
                <w:sz w:val="24"/>
                <w:szCs w:val="24"/>
              </w:rPr>
            </w:pPr>
            <w:r>
              <w:rPr>
                <w:rFonts w:hint="eastAsia" w:ascii="宋体" w:hAnsi="宋体" w:eastAsia="宋体" w:cs="宋体"/>
                <w:sz w:val="24"/>
                <w:szCs w:val="24"/>
              </w:rPr>
              <w:t>接到供货通知后15日内</w:t>
            </w:r>
          </w:p>
        </w:tc>
        <w:tc>
          <w:tcPr>
            <w:tcW w:w="395" w:type="pct"/>
            <w:shd w:val="clear" w:color="auto" w:fill="auto"/>
            <w:vAlign w:val="center"/>
          </w:tcPr>
          <w:p w14:paraId="5DE911A1">
            <w:pPr>
              <w:widowControl/>
              <w:snapToGrid w:val="0"/>
              <w:ind w:firstLine="0" w:firstLineChars="0"/>
              <w:jc w:val="center"/>
              <w:rPr>
                <w:rFonts w:hint="eastAsia" w:ascii="宋体" w:hAnsi="宋体" w:eastAsia="宋体" w:cs="宋体"/>
                <w:sz w:val="24"/>
                <w:szCs w:val="24"/>
              </w:rPr>
            </w:pPr>
            <w:r>
              <w:rPr>
                <w:rFonts w:hint="eastAsia" w:ascii="宋体" w:hAnsi="宋体" w:eastAsia="宋体" w:cs="宋体"/>
                <w:sz w:val="24"/>
                <w:szCs w:val="24"/>
              </w:rPr>
              <w:t>3年</w:t>
            </w:r>
          </w:p>
        </w:tc>
        <w:tc>
          <w:tcPr>
            <w:tcW w:w="320" w:type="pct"/>
            <w:vAlign w:val="center"/>
          </w:tcPr>
          <w:p w14:paraId="51563E41">
            <w:pPr>
              <w:widowControl/>
              <w:snapToGrid w:val="0"/>
              <w:ind w:firstLine="0" w:firstLineChars="0"/>
              <w:rPr>
                <w:rFonts w:hint="eastAsia" w:ascii="宋体" w:hAnsi="宋体" w:eastAsia="宋体" w:cs="宋体"/>
                <w:sz w:val="24"/>
                <w:szCs w:val="24"/>
              </w:rPr>
            </w:pPr>
            <w:r>
              <w:rPr>
                <w:rFonts w:hint="eastAsia" w:ascii="宋体" w:hAnsi="宋体" w:eastAsia="宋体" w:cs="宋体"/>
                <w:sz w:val="24"/>
                <w:szCs w:val="24"/>
              </w:rPr>
              <w:t>买方指定地点</w:t>
            </w:r>
          </w:p>
        </w:tc>
        <w:tc>
          <w:tcPr>
            <w:tcW w:w="320" w:type="pct"/>
            <w:vMerge w:val="continue"/>
            <w:vAlign w:val="center"/>
          </w:tcPr>
          <w:p w14:paraId="1086B3A3">
            <w:pPr>
              <w:widowControl/>
              <w:snapToGrid w:val="0"/>
              <w:ind w:firstLine="0" w:firstLineChars="0"/>
              <w:rPr>
                <w:rFonts w:hint="eastAsia" w:ascii="宋体" w:hAnsi="宋体" w:eastAsia="宋体" w:cs="宋体"/>
                <w:sz w:val="24"/>
                <w:szCs w:val="24"/>
              </w:rPr>
            </w:pPr>
          </w:p>
        </w:tc>
        <w:tc>
          <w:tcPr>
            <w:tcW w:w="320" w:type="pct"/>
            <w:vMerge w:val="continue"/>
            <w:vAlign w:val="center"/>
          </w:tcPr>
          <w:p w14:paraId="0BE1F8CA">
            <w:pPr>
              <w:widowControl/>
              <w:snapToGrid w:val="0"/>
              <w:ind w:firstLine="0" w:firstLineChars="0"/>
              <w:rPr>
                <w:rFonts w:hint="eastAsia" w:ascii="宋体" w:hAnsi="宋体" w:eastAsia="宋体" w:cs="宋体"/>
                <w:sz w:val="24"/>
                <w:szCs w:val="24"/>
              </w:rPr>
            </w:pPr>
          </w:p>
        </w:tc>
      </w:tr>
      <w:tr w14:paraId="550C6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33" w:type="pct"/>
            <w:vMerge w:val="continue"/>
            <w:vAlign w:val="center"/>
          </w:tcPr>
          <w:p w14:paraId="1959045F">
            <w:pPr>
              <w:widowControl/>
              <w:snapToGrid w:val="0"/>
              <w:ind w:firstLine="0" w:firstLineChars="0"/>
              <w:rPr>
                <w:rFonts w:hint="eastAsia" w:ascii="宋体" w:hAnsi="宋体" w:eastAsia="宋体" w:cs="宋体"/>
                <w:sz w:val="24"/>
                <w:szCs w:val="24"/>
              </w:rPr>
            </w:pPr>
          </w:p>
        </w:tc>
        <w:tc>
          <w:tcPr>
            <w:tcW w:w="591" w:type="pct"/>
            <w:vAlign w:val="center"/>
          </w:tcPr>
          <w:p w14:paraId="07097E5E">
            <w:pPr>
              <w:ind w:firstLine="0" w:firstLineChars="0"/>
              <w:jc w:val="left"/>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编解码器采集输出模组</w:t>
            </w:r>
          </w:p>
        </w:tc>
        <w:tc>
          <w:tcPr>
            <w:tcW w:w="1607" w:type="pct"/>
            <w:vAlign w:val="center"/>
          </w:tcPr>
          <w:p w14:paraId="6690E728">
            <w:pPr>
              <w:spacing w:line="280" w:lineRule="exact"/>
              <w:ind w:firstLine="0" w:firstLineChars="0"/>
              <w:rPr>
                <w:rFonts w:hint="eastAsia" w:ascii="宋体" w:hAnsi="宋体" w:eastAsia="宋体" w:cs="宋体"/>
                <w:sz w:val="24"/>
                <w:szCs w:val="24"/>
              </w:rPr>
            </w:pPr>
            <w:r>
              <w:rPr>
                <w:rFonts w:hint="eastAsia" w:ascii="宋体" w:hAnsi="宋体" w:eastAsia="宋体" w:cs="宋体"/>
                <w:sz w:val="24"/>
                <w:szCs w:val="24"/>
              </w:rPr>
              <w:t>1.输出接口：20路HDMI输出，单口最高3840×2160@60，支持自定义分辨率；支持每屏1/4/6/9/16/25/36分割、M×N自由开窗漫游，单屏最大36路开窗，支持多屏融合拼接、跨屏毫秒同步、OSD文字自定义叠加、预案轮巡、自定义大屏底色/高清底图</w:t>
            </w:r>
          </w:p>
          <w:p w14:paraId="769A7107">
            <w:pPr>
              <w:spacing w:line="280" w:lineRule="exact"/>
              <w:ind w:firstLine="0" w:firstLineChars="0"/>
              <w:rPr>
                <w:rFonts w:hint="eastAsia" w:ascii="宋体" w:hAnsi="宋体" w:eastAsia="宋体" w:cs="宋体"/>
                <w:sz w:val="24"/>
                <w:szCs w:val="24"/>
              </w:rPr>
            </w:pPr>
            <w:r>
              <w:rPr>
                <w:rFonts w:hint="eastAsia" w:ascii="宋体" w:hAnsi="宋体" w:eastAsia="宋体" w:cs="宋体"/>
                <w:sz w:val="24"/>
                <w:szCs w:val="24"/>
              </w:rPr>
              <w:t>2.采集输入：2路 HDMI+2路 DP 采集输入，最高4K@60采集，支持电脑、视频会议画面上墙；输入采集最大1080P@60编码</w:t>
            </w:r>
          </w:p>
        </w:tc>
        <w:tc>
          <w:tcPr>
            <w:tcW w:w="293" w:type="pct"/>
            <w:shd w:val="clear" w:color="000000" w:fill="FFFFFF"/>
            <w:vAlign w:val="center"/>
          </w:tcPr>
          <w:p w14:paraId="1DEF1EEB">
            <w:pPr>
              <w:widowControl/>
              <w:snapToGrid w:val="0"/>
              <w:ind w:firstLine="0" w:firstLineChars="0"/>
              <w:jc w:val="center"/>
              <w:rPr>
                <w:rFonts w:hint="eastAsia" w:ascii="宋体" w:hAnsi="宋体" w:eastAsia="宋体" w:cs="宋体"/>
                <w:sz w:val="24"/>
                <w:szCs w:val="24"/>
              </w:rPr>
            </w:pPr>
            <w:r>
              <w:rPr>
                <w:rFonts w:hint="eastAsia" w:ascii="宋体" w:hAnsi="宋体" w:eastAsia="宋体" w:cs="宋体"/>
                <w:sz w:val="24"/>
                <w:szCs w:val="24"/>
              </w:rPr>
              <w:t>套</w:t>
            </w:r>
          </w:p>
        </w:tc>
        <w:tc>
          <w:tcPr>
            <w:tcW w:w="275" w:type="pct"/>
            <w:shd w:val="clear" w:color="000000" w:fill="FFFFFF"/>
            <w:vAlign w:val="center"/>
          </w:tcPr>
          <w:p w14:paraId="7981DD22">
            <w:pPr>
              <w:topLinePunct/>
              <w:adjustRightInd w:val="0"/>
              <w:snapToGrid w:val="0"/>
              <w:spacing w:line="240" w:lineRule="atLeast"/>
              <w:ind w:firstLine="0" w:firstLineChars="0"/>
              <w:jc w:val="center"/>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2</w:t>
            </w:r>
          </w:p>
        </w:tc>
        <w:tc>
          <w:tcPr>
            <w:tcW w:w="344" w:type="pct"/>
            <w:shd w:val="clear" w:color="auto" w:fill="FF0000"/>
            <w:vAlign w:val="center"/>
          </w:tcPr>
          <w:p w14:paraId="060D514C">
            <w:pPr>
              <w:widowControl/>
              <w:snapToGrid w:val="0"/>
              <w:ind w:firstLine="0" w:firstLineChars="0"/>
              <w:rPr>
                <w:rFonts w:hint="eastAsia" w:ascii="宋体" w:hAnsi="宋体" w:eastAsia="宋体" w:cs="宋体"/>
                <w:sz w:val="24"/>
                <w:szCs w:val="24"/>
              </w:rPr>
            </w:pPr>
            <w:r>
              <w:rPr>
                <w:rFonts w:hint="eastAsia" w:ascii="宋体" w:hAnsi="宋体" w:eastAsia="宋体" w:cs="宋体"/>
                <w:sz w:val="24"/>
                <w:szCs w:val="24"/>
              </w:rPr>
              <w:t>接到供货通知后15日内</w:t>
            </w:r>
          </w:p>
        </w:tc>
        <w:tc>
          <w:tcPr>
            <w:tcW w:w="395" w:type="pct"/>
            <w:shd w:val="clear" w:color="auto" w:fill="auto"/>
            <w:vAlign w:val="center"/>
          </w:tcPr>
          <w:p w14:paraId="47F49279">
            <w:pPr>
              <w:widowControl/>
              <w:snapToGrid w:val="0"/>
              <w:ind w:firstLine="0" w:firstLineChars="0"/>
              <w:jc w:val="center"/>
              <w:rPr>
                <w:rFonts w:hint="eastAsia" w:ascii="宋体" w:hAnsi="宋体" w:eastAsia="宋体" w:cs="宋体"/>
                <w:sz w:val="24"/>
                <w:szCs w:val="24"/>
              </w:rPr>
            </w:pPr>
            <w:r>
              <w:rPr>
                <w:rFonts w:hint="eastAsia" w:ascii="宋体" w:hAnsi="宋体" w:eastAsia="宋体" w:cs="宋体"/>
                <w:sz w:val="24"/>
                <w:szCs w:val="24"/>
              </w:rPr>
              <w:t>3年</w:t>
            </w:r>
          </w:p>
        </w:tc>
        <w:tc>
          <w:tcPr>
            <w:tcW w:w="320" w:type="pct"/>
            <w:vAlign w:val="center"/>
          </w:tcPr>
          <w:p w14:paraId="0CA3F8D6">
            <w:pPr>
              <w:widowControl/>
              <w:snapToGrid w:val="0"/>
              <w:ind w:firstLine="0" w:firstLineChars="0"/>
              <w:rPr>
                <w:rFonts w:hint="eastAsia" w:ascii="宋体" w:hAnsi="宋体" w:eastAsia="宋体" w:cs="宋体"/>
                <w:sz w:val="24"/>
                <w:szCs w:val="24"/>
              </w:rPr>
            </w:pPr>
            <w:r>
              <w:rPr>
                <w:rFonts w:hint="eastAsia" w:ascii="宋体" w:hAnsi="宋体" w:eastAsia="宋体" w:cs="宋体"/>
                <w:sz w:val="24"/>
                <w:szCs w:val="24"/>
              </w:rPr>
              <w:t>买方指定地点</w:t>
            </w:r>
          </w:p>
        </w:tc>
        <w:tc>
          <w:tcPr>
            <w:tcW w:w="320" w:type="pct"/>
            <w:vMerge w:val="continue"/>
            <w:vAlign w:val="center"/>
          </w:tcPr>
          <w:p w14:paraId="40441E7D">
            <w:pPr>
              <w:widowControl/>
              <w:snapToGrid w:val="0"/>
              <w:ind w:firstLine="0" w:firstLineChars="0"/>
              <w:rPr>
                <w:rFonts w:hint="eastAsia" w:ascii="宋体" w:hAnsi="宋体" w:eastAsia="宋体" w:cs="宋体"/>
                <w:sz w:val="24"/>
                <w:szCs w:val="24"/>
              </w:rPr>
            </w:pPr>
          </w:p>
        </w:tc>
        <w:tc>
          <w:tcPr>
            <w:tcW w:w="320" w:type="pct"/>
            <w:vMerge w:val="continue"/>
            <w:vAlign w:val="center"/>
          </w:tcPr>
          <w:p w14:paraId="70B1B3D7">
            <w:pPr>
              <w:widowControl/>
              <w:snapToGrid w:val="0"/>
              <w:ind w:firstLine="0" w:firstLineChars="0"/>
              <w:rPr>
                <w:rFonts w:hint="eastAsia" w:ascii="宋体" w:hAnsi="宋体" w:eastAsia="宋体" w:cs="宋体"/>
                <w:sz w:val="24"/>
                <w:szCs w:val="24"/>
              </w:rPr>
            </w:pPr>
          </w:p>
        </w:tc>
      </w:tr>
      <w:tr w14:paraId="040E7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33" w:type="pct"/>
            <w:vMerge w:val="continue"/>
            <w:vAlign w:val="center"/>
          </w:tcPr>
          <w:p w14:paraId="248326F7">
            <w:pPr>
              <w:widowControl/>
              <w:snapToGrid w:val="0"/>
              <w:ind w:firstLine="0" w:firstLineChars="0"/>
              <w:rPr>
                <w:rFonts w:hint="eastAsia" w:ascii="宋体" w:hAnsi="宋体" w:eastAsia="宋体" w:cs="宋体"/>
                <w:sz w:val="24"/>
                <w:szCs w:val="24"/>
              </w:rPr>
            </w:pPr>
          </w:p>
        </w:tc>
        <w:tc>
          <w:tcPr>
            <w:tcW w:w="591" w:type="pct"/>
            <w:vAlign w:val="center"/>
          </w:tcPr>
          <w:p w14:paraId="567A8581">
            <w:pPr>
              <w:ind w:firstLine="0" w:firstLineChars="0"/>
              <w:jc w:val="left"/>
              <w:rPr>
                <w:rFonts w:hint="eastAsia" w:ascii="宋体" w:hAnsi="宋体" w:eastAsia="宋体" w:cs="宋体"/>
                <w:sz w:val="24"/>
                <w:szCs w:val="24"/>
              </w:rPr>
            </w:pPr>
            <w:r>
              <w:rPr>
                <w:rFonts w:hint="eastAsia" w:ascii="宋体" w:hAnsi="宋体" w:eastAsia="宋体" w:cs="宋体"/>
                <w:snapToGrid w:val="0"/>
                <w:kern w:val="0"/>
                <w:sz w:val="24"/>
                <w:szCs w:val="24"/>
              </w:rPr>
              <w:t>编解码器音频接口模组</w:t>
            </w:r>
          </w:p>
        </w:tc>
        <w:tc>
          <w:tcPr>
            <w:tcW w:w="1607" w:type="pct"/>
            <w:vAlign w:val="center"/>
          </w:tcPr>
          <w:p w14:paraId="35609369">
            <w:pPr>
              <w:spacing w:line="280" w:lineRule="exact"/>
              <w:ind w:firstLine="0" w:firstLineChars="0"/>
              <w:rPr>
                <w:rFonts w:hint="eastAsia" w:ascii="宋体" w:hAnsi="宋体" w:eastAsia="宋体" w:cs="宋体"/>
                <w:sz w:val="24"/>
                <w:szCs w:val="24"/>
              </w:rPr>
            </w:pPr>
            <w:r>
              <w:rPr>
                <w:rFonts w:hint="eastAsia" w:ascii="宋体" w:hAnsi="宋体" w:eastAsia="宋体" w:cs="宋体"/>
                <w:sz w:val="24"/>
                <w:szCs w:val="24"/>
              </w:rPr>
              <w:t>1.音频与外设：1组3.5mm音频输入+输出语音对讲接口；音频支持PCM/G711；4路USB、1路RS485串口</w:t>
            </w:r>
          </w:p>
        </w:tc>
        <w:tc>
          <w:tcPr>
            <w:tcW w:w="293" w:type="pct"/>
            <w:shd w:val="clear" w:color="000000" w:fill="FFFFFF"/>
            <w:vAlign w:val="center"/>
          </w:tcPr>
          <w:p w14:paraId="5503EC0C">
            <w:pPr>
              <w:widowControl/>
              <w:snapToGrid w:val="0"/>
              <w:ind w:firstLine="0" w:firstLineChars="0"/>
              <w:jc w:val="center"/>
              <w:rPr>
                <w:rFonts w:hint="eastAsia" w:ascii="宋体" w:hAnsi="宋体" w:eastAsia="宋体" w:cs="宋体"/>
                <w:sz w:val="24"/>
                <w:szCs w:val="24"/>
              </w:rPr>
            </w:pPr>
            <w:r>
              <w:rPr>
                <w:rFonts w:hint="eastAsia" w:ascii="宋体" w:hAnsi="宋体" w:eastAsia="宋体" w:cs="宋体"/>
                <w:sz w:val="24"/>
                <w:szCs w:val="24"/>
              </w:rPr>
              <w:t>套</w:t>
            </w:r>
          </w:p>
        </w:tc>
        <w:tc>
          <w:tcPr>
            <w:tcW w:w="275" w:type="pct"/>
            <w:shd w:val="clear" w:color="000000" w:fill="FFFFFF"/>
            <w:vAlign w:val="center"/>
          </w:tcPr>
          <w:p w14:paraId="12837E73">
            <w:pPr>
              <w:topLinePunct/>
              <w:adjustRightInd w:val="0"/>
              <w:snapToGrid w:val="0"/>
              <w:spacing w:line="240" w:lineRule="atLeast"/>
              <w:ind w:firstLine="0" w:firstLineChars="0"/>
              <w:jc w:val="center"/>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2</w:t>
            </w:r>
          </w:p>
        </w:tc>
        <w:tc>
          <w:tcPr>
            <w:tcW w:w="344" w:type="pct"/>
            <w:shd w:val="clear" w:color="auto" w:fill="FF0000"/>
            <w:vAlign w:val="center"/>
          </w:tcPr>
          <w:p w14:paraId="5996BF71">
            <w:pPr>
              <w:widowControl/>
              <w:snapToGrid w:val="0"/>
              <w:ind w:firstLine="0" w:firstLineChars="0"/>
              <w:rPr>
                <w:rFonts w:hint="eastAsia" w:ascii="宋体" w:hAnsi="宋体" w:eastAsia="宋体" w:cs="宋体"/>
                <w:sz w:val="24"/>
                <w:szCs w:val="24"/>
              </w:rPr>
            </w:pPr>
            <w:r>
              <w:rPr>
                <w:rFonts w:hint="eastAsia" w:ascii="宋体" w:hAnsi="宋体" w:eastAsia="宋体" w:cs="宋体"/>
                <w:sz w:val="24"/>
                <w:szCs w:val="24"/>
              </w:rPr>
              <w:t>接到供货通知后15日内</w:t>
            </w:r>
          </w:p>
        </w:tc>
        <w:tc>
          <w:tcPr>
            <w:tcW w:w="395" w:type="pct"/>
            <w:shd w:val="clear" w:color="auto" w:fill="auto"/>
            <w:vAlign w:val="center"/>
          </w:tcPr>
          <w:p w14:paraId="073B3EB3">
            <w:pPr>
              <w:widowControl/>
              <w:snapToGrid w:val="0"/>
              <w:ind w:firstLine="0" w:firstLineChars="0"/>
              <w:jc w:val="center"/>
              <w:rPr>
                <w:rFonts w:hint="eastAsia" w:ascii="宋体" w:hAnsi="宋体" w:eastAsia="宋体" w:cs="宋体"/>
                <w:sz w:val="24"/>
                <w:szCs w:val="24"/>
              </w:rPr>
            </w:pPr>
            <w:r>
              <w:rPr>
                <w:rFonts w:hint="eastAsia" w:ascii="宋体" w:hAnsi="宋体" w:eastAsia="宋体" w:cs="宋体"/>
                <w:sz w:val="24"/>
                <w:szCs w:val="24"/>
              </w:rPr>
              <w:t>3年</w:t>
            </w:r>
          </w:p>
        </w:tc>
        <w:tc>
          <w:tcPr>
            <w:tcW w:w="320" w:type="pct"/>
            <w:vAlign w:val="center"/>
          </w:tcPr>
          <w:p w14:paraId="06E11B0B">
            <w:pPr>
              <w:widowControl/>
              <w:snapToGrid w:val="0"/>
              <w:ind w:firstLine="0" w:firstLineChars="0"/>
              <w:rPr>
                <w:rFonts w:hint="eastAsia" w:ascii="宋体" w:hAnsi="宋体" w:eastAsia="宋体" w:cs="宋体"/>
                <w:sz w:val="24"/>
                <w:szCs w:val="24"/>
              </w:rPr>
            </w:pPr>
            <w:r>
              <w:rPr>
                <w:rFonts w:hint="eastAsia" w:ascii="宋体" w:hAnsi="宋体" w:eastAsia="宋体" w:cs="宋体"/>
                <w:sz w:val="24"/>
                <w:szCs w:val="24"/>
              </w:rPr>
              <w:t>买方指定地点</w:t>
            </w:r>
          </w:p>
        </w:tc>
        <w:tc>
          <w:tcPr>
            <w:tcW w:w="320" w:type="pct"/>
            <w:vMerge w:val="continue"/>
            <w:vAlign w:val="center"/>
          </w:tcPr>
          <w:p w14:paraId="68C52C64">
            <w:pPr>
              <w:widowControl/>
              <w:snapToGrid w:val="0"/>
              <w:ind w:firstLine="0" w:firstLineChars="0"/>
              <w:rPr>
                <w:rFonts w:hint="eastAsia" w:ascii="宋体" w:hAnsi="宋体" w:eastAsia="宋体" w:cs="宋体"/>
                <w:sz w:val="24"/>
                <w:szCs w:val="24"/>
              </w:rPr>
            </w:pPr>
          </w:p>
        </w:tc>
        <w:tc>
          <w:tcPr>
            <w:tcW w:w="320" w:type="pct"/>
            <w:vMerge w:val="continue"/>
            <w:vAlign w:val="center"/>
          </w:tcPr>
          <w:p w14:paraId="323799A9">
            <w:pPr>
              <w:widowControl/>
              <w:snapToGrid w:val="0"/>
              <w:ind w:firstLine="0" w:firstLineChars="0"/>
              <w:rPr>
                <w:rFonts w:hint="eastAsia" w:ascii="宋体" w:hAnsi="宋体" w:eastAsia="宋体" w:cs="宋体"/>
                <w:sz w:val="24"/>
                <w:szCs w:val="24"/>
              </w:rPr>
            </w:pPr>
          </w:p>
        </w:tc>
      </w:tr>
    </w:tbl>
    <w:p w14:paraId="4B5F2BF3">
      <w:pPr>
        <w:keepNext w:val="0"/>
        <w:keepLines w:val="0"/>
        <w:pageBreakBefore w:val="0"/>
        <w:widowControl w:val="0"/>
        <w:shd w:val="clear"/>
        <w:kinsoku/>
        <w:wordWrap/>
        <w:overflowPunct/>
        <w:topLinePunct w:val="0"/>
        <w:bidi w:val="0"/>
        <w:adjustRightInd w:val="0"/>
        <w:snapToGrid w:val="0"/>
        <w:spacing w:after="0" w:line="400" w:lineRule="exact"/>
        <w:jc w:val="both"/>
        <w:textAlignment w:val="auto"/>
        <w:rPr>
          <w:rFonts w:hint="eastAsia" w:ascii="宋体" w:hAnsi="宋体" w:eastAsia="宋体" w:cs="宋体"/>
          <w:color w:val="auto"/>
          <w:kern w:val="2"/>
          <w:sz w:val="21"/>
          <w:szCs w:val="21"/>
          <w:highlight w:val="none"/>
          <w:lang w:eastAsia="zh-CN" w:bidi="ar-SA"/>
        </w:rPr>
      </w:pPr>
    </w:p>
    <w:p w14:paraId="45F33534">
      <w:pPr>
        <w:keepNext w:val="0"/>
        <w:keepLines w:val="0"/>
        <w:pageBreakBefore w:val="0"/>
        <w:shd w:val="clear"/>
        <w:kinsoku/>
        <w:wordWrap/>
        <w:overflowPunct/>
        <w:topLinePunct w:val="0"/>
        <w:bidi w:val="0"/>
        <w:adjustRightInd w:val="0"/>
        <w:snapToGrid w:val="0"/>
        <w:spacing w:beforeLines="-2147483648" w:afterLines="-2147483648" w:line="400" w:lineRule="exac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kern w:val="0"/>
          <w:sz w:val="24"/>
          <w:szCs w:val="24"/>
          <w:lang w:bidi="ar"/>
        </w:rPr>
        <w:t>具体供货不局限于上述产品。应包括上述产品相关配件，类似升级产品，及整体设备的安装调试。</w:t>
      </w:r>
    </w:p>
    <w:p w14:paraId="41695FA7">
      <w:pPr>
        <w:keepNext w:val="0"/>
        <w:keepLines w:val="0"/>
        <w:pageBreakBefore w:val="0"/>
        <w:shd w:val="clear"/>
        <w:kinsoku/>
        <w:wordWrap/>
        <w:overflowPunct/>
        <w:topLinePunct w:val="0"/>
        <w:bidi w:val="0"/>
        <w:adjustRightInd w:val="0"/>
        <w:snapToGrid w:val="0"/>
        <w:spacing w:beforeLines="-2147483648" w:afterLines="-2147483648"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sz w:val="24"/>
          <w:szCs w:val="24"/>
          <w:highlight w:val="none"/>
        </w:rPr>
        <w:t>备注：</w:t>
      </w:r>
      <w:r>
        <w:rPr>
          <w:rFonts w:hint="eastAsia" w:ascii="宋体" w:hAnsi="宋体" w:eastAsia="宋体" w:cs="宋体"/>
          <w:color w:val="auto"/>
          <w:sz w:val="24"/>
          <w:szCs w:val="24"/>
          <w:highlight w:val="none"/>
        </w:rPr>
        <w:t>1.取得《国家电网有限公司集中规模招标采购供应商资质能力核实证明》</w:t>
      </w:r>
      <w:r>
        <w:rPr>
          <w:rFonts w:hint="eastAsia" w:ascii="宋体" w:hAnsi="宋体" w:eastAsia="宋体" w:cs="宋体"/>
          <w:color w:val="auto"/>
          <w:sz w:val="24"/>
          <w:szCs w:val="24"/>
          <w:highlight w:val="none"/>
          <w:lang w:eastAsia="zh-CN"/>
        </w:rPr>
        <w:t>或《国网智能科技股份有限公司集中规模招标采购供应商资质能力核实证明》</w:t>
      </w:r>
      <w:r>
        <w:rPr>
          <w:rFonts w:hint="eastAsia" w:ascii="宋体" w:hAnsi="宋体" w:eastAsia="宋体" w:cs="宋体"/>
          <w:color w:val="auto"/>
          <w:sz w:val="24"/>
          <w:szCs w:val="24"/>
          <w:highlight w:val="none"/>
        </w:rPr>
        <w:t>（以下简称《核实证明》）的投标人，应按要求使用该《核实证明》。《核实证明》含有的业绩、试验报告不能满足招标文件要求的，需要提供满足要求的业绩、试验报告等证明材料；未取得《核实证明》的，投标人需要提供对应支持证明材料。</w:t>
      </w:r>
    </w:p>
    <w:p w14:paraId="164BF8C9">
      <w:pPr>
        <w:keepNext w:val="0"/>
        <w:keepLines w:val="0"/>
        <w:pageBreakBefore w:val="0"/>
        <w:shd w:val="clear"/>
        <w:kinsoku/>
        <w:wordWrap/>
        <w:overflowPunct/>
        <w:topLinePunct w:val="0"/>
        <w:bidi w:val="0"/>
        <w:adjustRightInd w:val="0"/>
        <w:snapToGrid w:val="0"/>
        <w:spacing w:beforeLines="-2147483648" w:afterLines="-2147483648"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2.投标文件中提供的证明材料复印件应复印清晰、可辨认且不得遮盖、涂抹，否则视为无效。</w:t>
      </w:r>
    </w:p>
    <w:p w14:paraId="120BE620">
      <w:pPr>
        <w:keepNext w:val="0"/>
        <w:keepLines w:val="0"/>
        <w:pageBreakBefore w:val="0"/>
        <w:shd w:val="clear"/>
        <w:kinsoku/>
        <w:wordWrap/>
        <w:overflowPunct/>
        <w:topLinePunct w:val="0"/>
        <w:bidi w:val="0"/>
        <w:adjustRightInd w:val="0"/>
        <w:snapToGrid w:val="0"/>
        <w:spacing w:beforeLines="-2147483648" w:afterLines="-2147483648" w:line="4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4"/>
          <w:szCs w:val="24"/>
          <w:highlight w:val="none"/>
          <w:lang w:val="en-US" w:eastAsia="zh-CN"/>
        </w:rPr>
        <w:t>3.合同金额以所提供的发票及查验截图为准，业绩发票影印件后须附通过国家税务总局全国增值税发票查验平台（网址：https://inv-veri.chinatax.gov.cn/）查验的发票结果截图，“一发票一截图”，业绩认定时间以合同签订时间为准，合同签订时间不得晚于项目“专用业绩要求”中要求的时间。未提供发票或未提供对应发票查验结果截图的或合同签订时间晚于项目“专用业绩要求”中要求的时间的业绩不予认可。所有业绩支撑证明材料内容须保证清晰、可辨认且不得遮盖、涂抹。</w:t>
      </w:r>
    </w:p>
    <w:sectPr>
      <w:footerReference r:id="rId4" w:type="default"/>
      <w:pgSz w:w="16838" w:h="11906" w:orient="landscape"/>
      <w:pgMar w:top="1134" w:right="1440" w:bottom="1134" w:left="1440" w:header="851" w:footer="992" w:gutter="0"/>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Microsoft JhengHe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2F4FE1">
    <w:pPr>
      <w:pStyle w:val="8"/>
      <w:spacing w:beforeLines="0" w:afterLines="0"/>
      <w:jc w:val="center"/>
      <w:rPr>
        <w:rFonts w:hint="eastAsia" w:eastAsia="等线"/>
        <w:sz w:val="18"/>
        <w:szCs w:val="18"/>
      </w:rPr>
    </w:pPr>
    <w:r>
      <w:rPr>
        <w:rFonts w:hint="default"/>
        <w:sz w:val="18"/>
        <w:szCs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7785" cy="131445"/>
              <wp:effectExtent l="0" t="0" r="0" b="0"/>
              <wp:wrapNone/>
              <wp:docPr id="1" name="文本框 1"/>
              <wp:cNvGraphicFramePr/>
              <a:graphic xmlns:a="http://schemas.openxmlformats.org/drawingml/2006/main">
                <a:graphicData uri="http://schemas.microsoft.com/office/word/2010/wordprocessingShape">
                  <wps:wsp>
                    <wps:cNvSpPr txBox="1"/>
                    <wps:spPr>
                      <a:xfrm>
                        <a:off x="0" y="0"/>
                        <a:ext cx="57785" cy="131445"/>
                      </a:xfrm>
                      <a:prstGeom prst="rect">
                        <a:avLst/>
                      </a:prstGeom>
                      <a:noFill/>
                      <a:ln>
                        <a:noFill/>
                      </a:ln>
                    </wps:spPr>
                    <wps:txbx>
                      <w:txbxContent>
                        <w:p w14:paraId="7DA4308A">
                          <w:pPr>
                            <w:pStyle w:val="8"/>
                            <w:spacing w:beforeLines="0" w:afterLines="0"/>
                            <w:rPr>
                              <w:rFonts w:hint="default" w:eastAsia="宋体"/>
                              <w:sz w:val="18"/>
                              <w:szCs w:val="18"/>
                            </w:rPr>
                          </w:pPr>
                          <w:r>
                            <w:rPr>
                              <w:rFonts w:hint="eastAsia" w:eastAsia="宋体"/>
                              <w:sz w:val="18"/>
                              <w:szCs w:val="18"/>
                            </w:rPr>
                            <w:fldChar w:fldCharType="begin"/>
                          </w:r>
                          <w:r>
                            <w:rPr>
                              <w:rFonts w:hint="eastAsia" w:eastAsia="宋体"/>
                              <w:sz w:val="18"/>
                              <w:szCs w:val="18"/>
                            </w:rPr>
                            <w:instrText xml:space="preserve"> PAGE  \* MERGEFORMAT </w:instrText>
                          </w:r>
                          <w:r>
                            <w:rPr>
                              <w:rFonts w:hint="eastAsia" w:eastAsia="宋体"/>
                              <w:sz w:val="18"/>
                              <w:szCs w:val="18"/>
                            </w:rPr>
                            <w:fldChar w:fldCharType="separate"/>
                          </w:r>
                          <w:r>
                            <w:rPr>
                              <w:rFonts w:hint="eastAsia" w:eastAsia="宋体"/>
                              <w:sz w:val="18"/>
                              <w:szCs w:val="18"/>
                            </w:rPr>
                            <w:t>6</w:t>
                          </w:r>
                          <w:r>
                            <w:rPr>
                              <w:rFonts w:hint="eastAsia" w:eastAsia="宋体"/>
                              <w:sz w:val="18"/>
                              <w:szCs w:val="18"/>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0.35pt;width:4.55pt;mso-position-horizontal:center;mso-position-horizontal-relative:margin;mso-wrap-style:none;z-index:251659264;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M+L3UTQAAAAAgEAAA8AAAAAAAAAAQAgAAAAIgAAAGRycy9kb3du&#10;cmV2LnhtbFBLAQIUABQAAAAIAIdO4kDXOMk/zgEAAJYDAAAOAAAAAAAAAAEAIAAAAB8BAABkcnMv&#10;ZTJvRG9jLnhtbFBLBQYAAAAABgAGAFkBAABfBQAAAAA=&#10;">
              <v:fill on="f" focussize="0,0"/>
              <v:stroke on="f"/>
              <v:imagedata o:title=""/>
              <o:lock v:ext="edit" aspectratio="f"/>
              <v:textbox inset="0mm,0mm,0mm,0mm" style="mso-fit-shape-to-text:t;">
                <w:txbxContent>
                  <w:p w14:paraId="7DA4308A">
                    <w:pPr>
                      <w:pStyle w:val="8"/>
                      <w:spacing w:beforeLines="0" w:afterLines="0"/>
                      <w:rPr>
                        <w:rFonts w:hint="default" w:eastAsia="宋体"/>
                        <w:sz w:val="18"/>
                        <w:szCs w:val="18"/>
                      </w:rPr>
                    </w:pPr>
                    <w:r>
                      <w:rPr>
                        <w:rFonts w:hint="eastAsia" w:eastAsia="宋体"/>
                        <w:sz w:val="18"/>
                        <w:szCs w:val="18"/>
                      </w:rPr>
                      <w:fldChar w:fldCharType="begin"/>
                    </w:r>
                    <w:r>
                      <w:rPr>
                        <w:rFonts w:hint="eastAsia" w:eastAsia="宋体"/>
                        <w:sz w:val="18"/>
                        <w:szCs w:val="18"/>
                      </w:rPr>
                      <w:instrText xml:space="preserve"> PAGE  \* MERGEFORMAT </w:instrText>
                    </w:r>
                    <w:r>
                      <w:rPr>
                        <w:rFonts w:hint="eastAsia" w:eastAsia="宋体"/>
                        <w:sz w:val="18"/>
                        <w:szCs w:val="18"/>
                      </w:rPr>
                      <w:fldChar w:fldCharType="separate"/>
                    </w:r>
                    <w:r>
                      <w:rPr>
                        <w:rFonts w:hint="eastAsia" w:eastAsia="宋体"/>
                        <w:sz w:val="18"/>
                        <w:szCs w:val="18"/>
                      </w:rPr>
                      <w:t>6</w:t>
                    </w:r>
                    <w:r>
                      <w:rPr>
                        <w:rFonts w:hint="eastAsia" w:eastAsia="宋体"/>
                        <w:sz w:val="18"/>
                        <w:szCs w:val="18"/>
                      </w:rPr>
                      <w:fldChar w:fldCharType="end"/>
                    </w:r>
                  </w:p>
                </w:txbxContent>
              </v:textbox>
            </v:shape>
          </w:pict>
        </mc:Fallback>
      </mc:AlternateContent>
    </w:r>
    <w:r>
      <w:rPr>
        <w:rFonts w:hint="eastAsia" w:eastAsia="等线"/>
        <w:sz w:val="18"/>
        <w:szCs w:val="18"/>
      </w:rPr>
      <w:t xml:space="preserve">     </w:t>
    </w:r>
  </w:p>
  <w:p w14:paraId="4C1BA968">
    <w:pPr>
      <w:pStyle w:val="8"/>
      <w:spacing w:beforeLines="0" w:afterLines="0"/>
      <w:rPr>
        <w:rFonts w:hint="default"/>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5"/>
  <w:embedSystemFonts/>
  <w:bordersDoNotSurroundHeader w:val="0"/>
  <w:bordersDoNotSurroundFooter w:val="0"/>
  <w:documentProtection w:enforcement="0"/>
  <w:defaultTabStop w:val="420"/>
  <w:drawingGridHorizontalSpacing w:val="210"/>
  <w:drawingGridVerticalSpacing w:val="156"/>
  <w:displayHorizontalDrawingGridEvery w:val="1"/>
  <w:displayVerticalDrawingGridEvery w:val="1"/>
  <w:noPunctuationKerning w:val="1"/>
  <w:characterSpacingControl w:val="compressPunctuation"/>
  <w:footnotePr>
    <w:footnote w:id="0"/>
    <w:footnote w:id="1"/>
  </w:foot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F4B3000"/>
    <w:rsid w:val="00771B68"/>
    <w:rsid w:val="02FB6D7F"/>
    <w:rsid w:val="05E95CE9"/>
    <w:rsid w:val="07AF45F8"/>
    <w:rsid w:val="10A51DDA"/>
    <w:rsid w:val="19A03A86"/>
    <w:rsid w:val="1F4B3000"/>
    <w:rsid w:val="1FD62287"/>
    <w:rsid w:val="1FFC753C"/>
    <w:rsid w:val="247A4BEB"/>
    <w:rsid w:val="2E5C3FC8"/>
    <w:rsid w:val="34117602"/>
    <w:rsid w:val="34C07164"/>
    <w:rsid w:val="35310628"/>
    <w:rsid w:val="37DC3A83"/>
    <w:rsid w:val="39333B77"/>
    <w:rsid w:val="3F271C8F"/>
    <w:rsid w:val="42245F5D"/>
    <w:rsid w:val="45CE552A"/>
    <w:rsid w:val="4A5767AB"/>
    <w:rsid w:val="4DD033AE"/>
    <w:rsid w:val="50FB2D75"/>
    <w:rsid w:val="51D14780"/>
    <w:rsid w:val="525E5C4F"/>
    <w:rsid w:val="52D02C2A"/>
    <w:rsid w:val="54AC6744"/>
    <w:rsid w:val="55AA3239"/>
    <w:rsid w:val="55B60F7C"/>
    <w:rsid w:val="58B64DDB"/>
    <w:rsid w:val="60601D56"/>
    <w:rsid w:val="6CFE17CB"/>
    <w:rsid w:val="7141612A"/>
    <w:rsid w:val="77A61258"/>
    <w:rsid w:val="799314ED"/>
    <w:rsid w:val="7C1E1DB3"/>
    <w:rsid w:val="7EFE7D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nhideWhenUsed/>
    <w:qFormat/>
    <w:uiPriority w:val="0"/>
    <w:pPr>
      <w:widowControl w:val="0"/>
      <w:spacing w:beforeLines="0" w:afterLines="0"/>
      <w:jc w:val="both"/>
    </w:pPr>
    <w:rPr>
      <w:rFonts w:hint="eastAsia" w:ascii="等线" w:hAnsi="等线" w:eastAsia="等线" w:cs="Times New Roman"/>
      <w:kern w:val="2"/>
      <w:sz w:val="21"/>
      <w:szCs w:val="22"/>
      <w:lang w:val="en-US" w:eastAsia="zh-CN" w:bidi="ar-SA"/>
    </w:rPr>
  </w:style>
  <w:style w:type="paragraph" w:styleId="7">
    <w:name w:val="heading 2"/>
    <w:basedOn w:val="1"/>
    <w:next w:val="1"/>
    <w:unhideWhenUsed/>
    <w:qFormat/>
    <w:uiPriority w:val="0"/>
    <w:pPr>
      <w:autoSpaceDE w:val="0"/>
      <w:autoSpaceDN w:val="0"/>
      <w:spacing w:beforeLines="0" w:afterLines="0"/>
      <w:ind w:left="801" w:hanging="401"/>
      <w:jc w:val="left"/>
      <w:outlineLvl w:val="1"/>
    </w:pPr>
    <w:rPr>
      <w:rFonts w:hint="eastAsia" w:ascii="Microsoft JhengHei" w:hAnsi="Microsoft JhengHei" w:eastAsia="Microsoft JhengHei" w:cs="Microsoft JhengHei"/>
      <w:b/>
      <w:sz w:val="32"/>
      <w:szCs w:val="32"/>
      <w:lang w:val="zh-CN"/>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5"/>
    <w:qFormat/>
    <w:uiPriority w:val="0"/>
    <w:pPr>
      <w:ind w:left="0" w:leftChars="0" w:firstLine="420"/>
    </w:pPr>
    <w:rPr>
      <w:rFonts w:ascii="Times New Roman" w:hAnsi="Times New Roman"/>
      <w:szCs w:val="24"/>
    </w:rPr>
  </w:style>
  <w:style w:type="paragraph" w:styleId="3">
    <w:name w:val="Body Text Indent"/>
    <w:basedOn w:val="1"/>
    <w:next w:val="4"/>
    <w:unhideWhenUsed/>
    <w:qFormat/>
    <w:uiPriority w:val="0"/>
    <w:pPr>
      <w:spacing w:after="120"/>
      <w:ind w:left="420" w:leftChars="200"/>
    </w:pPr>
  </w:style>
  <w:style w:type="paragraph" w:styleId="4">
    <w:name w:val="envelope return"/>
    <w:basedOn w:val="1"/>
    <w:qFormat/>
    <w:uiPriority w:val="99"/>
    <w:pPr>
      <w:snapToGrid w:val="0"/>
    </w:pPr>
    <w:rPr>
      <w:rFonts w:ascii="Arial" w:hAnsi="Arial" w:cs="Arial"/>
      <w:szCs w:val="24"/>
    </w:rPr>
  </w:style>
  <w:style w:type="paragraph" w:customStyle="1" w:styleId="5">
    <w:name w:val="表格文字"/>
    <w:basedOn w:val="6"/>
    <w:next w:val="1"/>
    <w:qFormat/>
    <w:uiPriority w:val="0"/>
    <w:pPr>
      <w:ind w:firstLine="0" w:firstLineChars="0"/>
      <w:jc w:val="center"/>
    </w:pPr>
    <w:rPr>
      <w:szCs w:val="20"/>
    </w:rPr>
  </w:style>
  <w:style w:type="paragraph" w:styleId="6">
    <w:name w:val="List"/>
    <w:basedOn w:val="1"/>
    <w:qFormat/>
    <w:uiPriority w:val="0"/>
    <w:pPr>
      <w:ind w:left="200" w:hanging="200" w:hangingChars="200"/>
      <w:contextualSpacing/>
    </w:pPr>
  </w:style>
  <w:style w:type="paragraph" w:styleId="8">
    <w:name w:val="footer"/>
    <w:basedOn w:val="1"/>
    <w:unhideWhenUsed/>
    <w:qFormat/>
    <w:uiPriority w:val="99"/>
    <w:pPr>
      <w:tabs>
        <w:tab w:val="center" w:pos="4153"/>
        <w:tab w:val="right" w:pos="8306"/>
      </w:tabs>
      <w:snapToGrid w:val="0"/>
      <w:spacing w:beforeLines="0" w:afterLines="0"/>
      <w:jc w:val="left"/>
    </w:pPr>
    <w:rPr>
      <w:rFonts w:hint="eastAsia"/>
      <w:sz w:val="18"/>
      <w:szCs w:val="18"/>
    </w:rPr>
  </w:style>
  <w:style w:type="paragraph" w:customStyle="1" w:styleId="11">
    <w:name w:val="正文文本2"/>
    <w:basedOn w:val="1"/>
    <w:unhideWhenUsed/>
    <w:qFormat/>
    <w:uiPriority w:val="0"/>
    <w:pPr>
      <w:autoSpaceDE w:val="0"/>
      <w:autoSpaceDN w:val="0"/>
      <w:spacing w:beforeLines="0" w:afterLines="0"/>
      <w:jc w:val="left"/>
    </w:pPr>
    <w:rPr>
      <w:rFonts w:hint="eastAsia" w:ascii="宋体" w:hAnsi="宋体" w:eastAsia="宋体"/>
      <w:sz w:val="20"/>
      <w:szCs w:val="21"/>
      <w:lang w:val="zh-CN"/>
    </w:rPr>
  </w:style>
  <w:style w:type="paragraph" w:customStyle="1" w:styleId="12">
    <w:name w:val="Normal_1"/>
    <w:autoRedefine/>
    <w:qFormat/>
    <w:uiPriority w:val="0"/>
    <w:pPr>
      <w:widowControl w:val="0"/>
      <w:jc w:val="both"/>
    </w:pPr>
    <w:rPr>
      <w:rFonts w:ascii="Times New Roman" w:hAnsi="Times New Roman" w:eastAsia="宋体" w:cs="Times New Roman"/>
      <w:lang w:val="en-US" w:eastAsia="zh-CN" w:bidi="ar-SA"/>
    </w:rPr>
  </w:style>
  <w:style w:type="paragraph"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5083</Words>
  <Characters>5666</Characters>
  <Lines>0</Lines>
  <Paragraphs>0</Paragraphs>
  <TotalTime>2</TotalTime>
  <ScaleCrop>false</ScaleCrop>
  <LinksUpToDate>false</LinksUpToDate>
  <CharactersWithSpaces>5688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2026-06-12T06:39:00Z</dcterms:created>
  <dc:creator>北辰</dc:creator>
  <cp:lastModifiedBy>WPS_1555299874</cp:lastModifiedBy>
  <dcterms:modified xsi:type="dcterms:W3CDTF">2026-08-26T11:24:42Z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39B085A9EFEE4A77B5C86FD0F25F73CD_11</vt:lpwstr>
  </property>
  <property fmtid="{D5CDD505-2E9C-101B-9397-08002B2CF9AE}" pid="4" name="KSOTemplateDocerSaveRecord">
    <vt:lpwstr>eyJoZGlkIjoiNGY1Y2NlMmI1YTNhNTE1ODJiZGVlZDZiOTQ2M2NjNTYiLCJ1c2VySWQiOiI1MjY2MjIyMzMifQ==</vt:lpwstr>
  </property>
</Properties>
</file>