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8C20293">
      <w:pPr>
        <w:keepNext w:val="0"/>
        <w:keepLines w:val="0"/>
        <w:pageBreakBefore w:val="0"/>
        <w:widowControl/>
        <w:shd w:val="clear"/>
        <w:kinsoku/>
        <w:wordWrap/>
        <w:overflowPunct/>
        <w:topLinePunct w:val="0"/>
        <w:bidi w:val="0"/>
        <w:adjustRightInd w:val="0"/>
        <w:snapToGrid w:val="0"/>
        <w:spacing w:before="0" w:beforeLines="-2147483648" w:after="0" w:afterLines="-2147483648" w:line="400" w:lineRule="exact"/>
        <w:jc w:val="left"/>
        <w:textAlignment w:val="auto"/>
        <w:outlineLvl w:val="1"/>
        <w:rPr>
          <w:rFonts w:hint="default" w:ascii="宋体" w:hAnsi="宋体" w:eastAsia="宋体" w:cs="宋体"/>
          <w:b/>
          <w:color w:val="auto"/>
          <w:kern w:val="2"/>
          <w:sz w:val="28"/>
          <w:szCs w:val="28"/>
          <w:highlight w:val="none"/>
          <w:lang w:val="en-US" w:bidi="en-US"/>
        </w:rPr>
      </w:pPr>
      <w:bookmarkStart w:id="0" w:name="_GoBack"/>
      <w:r>
        <w:rPr>
          <w:rFonts w:hint="eastAsia" w:ascii="宋体" w:hAnsi="宋体" w:eastAsia="宋体" w:cs="宋体"/>
          <w:b/>
          <w:color w:val="auto"/>
          <w:kern w:val="2"/>
          <w:sz w:val="28"/>
          <w:szCs w:val="28"/>
          <w:highlight w:val="none"/>
          <w:lang w:val="en-US" w:bidi="en-US"/>
        </w:rPr>
        <w:t>招标公告附件</w:t>
      </w:r>
      <w:bookmarkEnd w:id="0"/>
    </w:p>
    <w:tbl>
      <w:tblPr>
        <w:tblStyle w:val="9"/>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13"/>
        <w:gridCol w:w="1789"/>
        <w:gridCol w:w="4862"/>
        <w:gridCol w:w="887"/>
        <w:gridCol w:w="834"/>
        <w:gridCol w:w="1043"/>
        <w:gridCol w:w="1196"/>
        <w:gridCol w:w="970"/>
        <w:gridCol w:w="971"/>
      </w:tblGrid>
      <w:tr w14:paraId="672D58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blHeader/>
          <w:jc w:val="center"/>
        </w:trPr>
        <w:tc>
          <w:tcPr>
            <w:tcW w:w="569" w:type="pct"/>
            <w:vAlign w:val="center"/>
          </w:tcPr>
          <w:p w14:paraId="31541362">
            <w:pPr>
              <w:widowControl/>
              <w:snapToGrid w:val="0"/>
              <w:ind w:firstLine="0" w:firstLineChars="0"/>
              <w:jc w:val="center"/>
              <w:rPr>
                <w:rFonts w:hint="eastAsia" w:ascii="宋体" w:hAnsi="宋体" w:eastAsia="宋体" w:cs="宋体"/>
                <w:color w:val="auto"/>
                <w:sz w:val="24"/>
                <w:szCs w:val="24"/>
              </w:rPr>
            </w:pPr>
            <w:r>
              <w:rPr>
                <w:rFonts w:hint="eastAsia" w:ascii="宋体" w:hAnsi="宋体" w:eastAsia="宋体" w:cs="宋体"/>
                <w:color w:val="auto"/>
                <w:sz w:val="24"/>
                <w:szCs w:val="24"/>
              </w:rPr>
              <w:t>项目名称</w:t>
            </w:r>
          </w:p>
        </w:tc>
        <w:tc>
          <w:tcPr>
            <w:tcW w:w="631" w:type="pct"/>
            <w:shd w:val="clear" w:color="auto" w:fill="auto"/>
            <w:vAlign w:val="center"/>
          </w:tcPr>
          <w:p w14:paraId="051F9362">
            <w:pPr>
              <w:widowControl/>
              <w:snapToGrid w:val="0"/>
              <w:ind w:firstLine="0" w:firstLineChars="0"/>
              <w:jc w:val="center"/>
              <w:rPr>
                <w:rFonts w:hint="eastAsia" w:ascii="宋体" w:hAnsi="宋体" w:eastAsia="宋体" w:cs="宋体"/>
                <w:color w:val="auto"/>
                <w:sz w:val="24"/>
                <w:szCs w:val="24"/>
              </w:rPr>
            </w:pPr>
            <w:r>
              <w:rPr>
                <w:rFonts w:hint="eastAsia" w:ascii="宋体" w:hAnsi="宋体" w:eastAsia="宋体" w:cs="宋体"/>
                <w:color w:val="auto"/>
                <w:sz w:val="24"/>
                <w:szCs w:val="24"/>
              </w:rPr>
              <w:t>物资名称</w:t>
            </w:r>
          </w:p>
        </w:tc>
        <w:tc>
          <w:tcPr>
            <w:tcW w:w="1715" w:type="pct"/>
            <w:shd w:val="clear" w:color="auto" w:fill="auto"/>
            <w:vAlign w:val="center"/>
          </w:tcPr>
          <w:p w14:paraId="12DE6346">
            <w:pPr>
              <w:widowControl/>
              <w:snapToGrid w:val="0"/>
              <w:ind w:firstLine="0" w:firstLineChars="0"/>
              <w:jc w:val="center"/>
              <w:rPr>
                <w:rFonts w:hint="eastAsia" w:ascii="宋体" w:hAnsi="宋体" w:eastAsia="宋体" w:cs="宋体"/>
                <w:color w:val="auto"/>
                <w:sz w:val="24"/>
                <w:szCs w:val="24"/>
              </w:rPr>
            </w:pPr>
            <w:r>
              <w:rPr>
                <w:rFonts w:hint="eastAsia" w:ascii="宋体" w:hAnsi="宋体" w:eastAsia="宋体" w:cs="宋体"/>
                <w:color w:val="auto"/>
                <w:sz w:val="24"/>
                <w:szCs w:val="24"/>
              </w:rPr>
              <w:t>主要技术要求</w:t>
            </w:r>
          </w:p>
        </w:tc>
        <w:tc>
          <w:tcPr>
            <w:tcW w:w="313" w:type="pct"/>
            <w:shd w:val="clear" w:color="auto" w:fill="auto"/>
            <w:vAlign w:val="center"/>
          </w:tcPr>
          <w:p w14:paraId="01D8BBE9">
            <w:pPr>
              <w:widowControl/>
              <w:snapToGrid w:val="0"/>
              <w:ind w:firstLine="0" w:firstLineChars="0"/>
              <w:jc w:val="center"/>
              <w:rPr>
                <w:rFonts w:hint="eastAsia" w:ascii="宋体" w:hAnsi="宋体" w:eastAsia="宋体" w:cs="宋体"/>
                <w:color w:val="auto"/>
                <w:sz w:val="24"/>
                <w:szCs w:val="24"/>
              </w:rPr>
            </w:pPr>
            <w:r>
              <w:rPr>
                <w:rFonts w:hint="eastAsia" w:ascii="宋体" w:hAnsi="宋体" w:eastAsia="宋体" w:cs="宋体"/>
                <w:color w:val="auto"/>
                <w:sz w:val="24"/>
                <w:szCs w:val="24"/>
              </w:rPr>
              <w:t>单位</w:t>
            </w:r>
          </w:p>
        </w:tc>
        <w:tc>
          <w:tcPr>
            <w:tcW w:w="294" w:type="pct"/>
            <w:shd w:val="clear" w:color="auto" w:fill="auto"/>
            <w:vAlign w:val="center"/>
          </w:tcPr>
          <w:p w14:paraId="7F493443">
            <w:pPr>
              <w:widowControl/>
              <w:snapToGrid w:val="0"/>
              <w:ind w:firstLine="0" w:firstLineChars="0"/>
              <w:jc w:val="center"/>
              <w:rPr>
                <w:rFonts w:hint="eastAsia" w:ascii="宋体" w:hAnsi="宋体" w:eastAsia="宋体" w:cs="宋体"/>
                <w:color w:val="auto"/>
                <w:sz w:val="24"/>
                <w:szCs w:val="24"/>
              </w:rPr>
            </w:pPr>
            <w:r>
              <w:rPr>
                <w:rFonts w:hint="eastAsia" w:ascii="宋体" w:hAnsi="宋体" w:eastAsia="宋体" w:cs="宋体"/>
                <w:color w:val="auto"/>
                <w:sz w:val="24"/>
                <w:szCs w:val="24"/>
              </w:rPr>
              <w:t>数量</w:t>
            </w:r>
          </w:p>
        </w:tc>
        <w:tc>
          <w:tcPr>
            <w:tcW w:w="368" w:type="pct"/>
            <w:shd w:val="clear" w:color="auto" w:fill="FF0000"/>
            <w:vAlign w:val="center"/>
          </w:tcPr>
          <w:p w14:paraId="70D62E67">
            <w:pPr>
              <w:widowControl/>
              <w:snapToGrid w:val="0"/>
              <w:ind w:firstLine="0" w:firstLineChars="0"/>
              <w:jc w:val="center"/>
              <w:rPr>
                <w:rFonts w:hint="eastAsia" w:ascii="宋体" w:hAnsi="宋体" w:eastAsia="宋体" w:cs="宋体"/>
                <w:color w:val="auto"/>
                <w:sz w:val="24"/>
                <w:szCs w:val="24"/>
              </w:rPr>
            </w:pPr>
            <w:r>
              <w:rPr>
                <w:rFonts w:hint="eastAsia" w:ascii="宋体" w:hAnsi="宋体" w:eastAsia="宋体" w:cs="宋体"/>
                <w:color w:val="auto"/>
                <w:sz w:val="24"/>
                <w:szCs w:val="24"/>
              </w:rPr>
              <w:t>交货日期</w:t>
            </w:r>
          </w:p>
        </w:tc>
        <w:tc>
          <w:tcPr>
            <w:tcW w:w="422" w:type="pct"/>
            <w:vAlign w:val="center"/>
          </w:tcPr>
          <w:p w14:paraId="5DD0C723">
            <w:pPr>
              <w:widowControl/>
              <w:snapToGrid w:val="0"/>
              <w:ind w:firstLine="0" w:firstLineChars="0"/>
              <w:jc w:val="center"/>
              <w:rPr>
                <w:rFonts w:hint="eastAsia" w:ascii="宋体" w:hAnsi="宋体" w:eastAsia="宋体" w:cs="宋体"/>
                <w:color w:val="auto"/>
                <w:sz w:val="24"/>
                <w:szCs w:val="24"/>
              </w:rPr>
            </w:pPr>
            <w:r>
              <w:rPr>
                <w:rFonts w:hint="eastAsia" w:ascii="宋体" w:hAnsi="宋体" w:eastAsia="宋体" w:cs="宋体"/>
                <w:color w:val="auto"/>
                <w:sz w:val="24"/>
                <w:szCs w:val="24"/>
              </w:rPr>
              <w:t>质保期（不低于）</w:t>
            </w:r>
          </w:p>
        </w:tc>
        <w:tc>
          <w:tcPr>
            <w:tcW w:w="342" w:type="pct"/>
            <w:shd w:val="clear" w:color="auto" w:fill="auto"/>
            <w:vAlign w:val="center"/>
          </w:tcPr>
          <w:p w14:paraId="18172246">
            <w:pPr>
              <w:widowControl/>
              <w:snapToGrid w:val="0"/>
              <w:ind w:firstLine="0" w:firstLineChars="0"/>
              <w:jc w:val="center"/>
              <w:rPr>
                <w:rFonts w:hint="eastAsia" w:ascii="宋体" w:hAnsi="宋体" w:eastAsia="宋体" w:cs="宋体"/>
                <w:color w:val="auto"/>
                <w:sz w:val="24"/>
                <w:szCs w:val="24"/>
              </w:rPr>
            </w:pPr>
            <w:r>
              <w:rPr>
                <w:rFonts w:hint="eastAsia" w:ascii="宋体" w:hAnsi="宋体" w:eastAsia="宋体" w:cs="宋体"/>
                <w:color w:val="auto"/>
                <w:sz w:val="24"/>
                <w:szCs w:val="24"/>
              </w:rPr>
              <w:t>交货地点</w:t>
            </w:r>
          </w:p>
        </w:tc>
        <w:tc>
          <w:tcPr>
            <w:tcW w:w="342" w:type="pct"/>
            <w:shd w:val="clear" w:color="auto" w:fill="auto"/>
            <w:vAlign w:val="center"/>
          </w:tcPr>
          <w:p w14:paraId="35CE1A66">
            <w:pPr>
              <w:widowControl/>
              <w:snapToGrid w:val="0"/>
              <w:ind w:firstLine="0" w:firstLineChars="0"/>
              <w:jc w:val="center"/>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专用业绩要求</w:t>
            </w:r>
          </w:p>
        </w:tc>
      </w:tr>
      <w:tr w14:paraId="514B8F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9" w:type="pct"/>
            <w:vMerge w:val="restart"/>
            <w:vAlign w:val="center"/>
          </w:tcPr>
          <w:p w14:paraId="3195009E">
            <w:pPr>
              <w:widowControl/>
              <w:snapToGrid w:val="0"/>
              <w:ind w:firstLine="0" w:firstLineChars="0"/>
              <w:rPr>
                <w:rFonts w:hint="eastAsia" w:ascii="宋体" w:hAnsi="宋体" w:eastAsia="宋体" w:cs="宋体"/>
                <w:color w:val="auto"/>
                <w:sz w:val="24"/>
                <w:szCs w:val="24"/>
              </w:rPr>
            </w:pPr>
            <w:r>
              <w:rPr>
                <w:rFonts w:hint="eastAsia" w:ascii="宋体" w:hAnsi="宋体" w:eastAsia="宋体" w:cs="宋体"/>
                <w:color w:val="auto"/>
                <w:sz w:val="24"/>
                <w:szCs w:val="24"/>
                <w:highlight w:val="none"/>
                <w:woUserID w:val="1"/>
              </w:rPr>
              <w:t>曲臂升降作业模组等采购项目</w:t>
            </w:r>
          </w:p>
        </w:tc>
        <w:tc>
          <w:tcPr>
            <w:tcW w:w="631" w:type="pct"/>
            <w:shd w:val="clear" w:color="auto" w:fill="auto"/>
            <w:vAlign w:val="center"/>
          </w:tcPr>
          <w:p w14:paraId="6D32E857">
            <w:pPr>
              <w:ind w:firstLine="0" w:firstLineChars="0"/>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曲臂升降作业模组</w:t>
            </w:r>
          </w:p>
        </w:tc>
        <w:tc>
          <w:tcPr>
            <w:tcW w:w="1715" w:type="pct"/>
            <w:shd w:val="clear" w:color="auto" w:fill="auto"/>
            <w:vAlign w:val="center"/>
          </w:tcPr>
          <w:p w14:paraId="5268F0C7">
            <w:pPr>
              <w:ind w:firstLine="0" w:firstLineChars="0"/>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臂杆结构：三节伸缩主臂 + 独立 1m 辅助小臂</w:t>
            </w:r>
            <w:r>
              <w:rPr>
                <w:rFonts w:hint="eastAsia" w:ascii="宋体" w:hAnsi="宋体" w:eastAsia="宋体" w:cs="宋体"/>
                <w:sz w:val="24"/>
                <w:szCs w:val="24"/>
                <w:lang w:val="en-US" w:eastAsia="zh-CN"/>
              </w:rPr>
              <w:br w:type="textWrapping"/>
            </w:r>
            <w:r>
              <w:rPr>
                <w:rFonts w:hint="eastAsia" w:ascii="宋体" w:hAnsi="宋体" w:eastAsia="宋体" w:cs="宋体"/>
                <w:sz w:val="24"/>
                <w:szCs w:val="24"/>
                <w:lang w:val="en-US" w:eastAsia="zh-CN"/>
              </w:rPr>
              <w:t>平台离地高度≥16m，整机最大作业高度≥18m</w:t>
            </w:r>
            <w:r>
              <w:rPr>
                <w:rFonts w:hint="eastAsia" w:ascii="宋体" w:hAnsi="宋体" w:eastAsia="宋体" w:cs="宋体"/>
                <w:sz w:val="24"/>
                <w:szCs w:val="24"/>
                <w:lang w:val="en-US" w:eastAsia="zh-CN"/>
              </w:rPr>
              <w:br w:type="textWrapping"/>
            </w:r>
            <w:r>
              <w:rPr>
                <w:rFonts w:hint="eastAsia" w:ascii="宋体" w:hAnsi="宋体" w:eastAsia="宋体" w:cs="宋体"/>
                <w:sz w:val="24"/>
                <w:szCs w:val="24"/>
                <w:lang w:val="en-US" w:eastAsia="zh-CN"/>
              </w:rPr>
              <w:t>最大水平工作伸距≥7.4m</w:t>
            </w:r>
            <w:r>
              <w:rPr>
                <w:rFonts w:hint="eastAsia" w:ascii="宋体" w:hAnsi="宋体" w:eastAsia="宋体" w:cs="宋体"/>
                <w:sz w:val="24"/>
                <w:szCs w:val="24"/>
                <w:lang w:val="en-US" w:eastAsia="zh-CN"/>
              </w:rPr>
              <w:br w:type="textWrapping"/>
            </w:r>
            <w:r>
              <w:rPr>
                <w:rFonts w:hint="eastAsia" w:ascii="宋体" w:hAnsi="宋体" w:eastAsia="宋体" w:cs="宋体"/>
                <w:sz w:val="24"/>
                <w:szCs w:val="24"/>
                <w:lang w:val="en-US" w:eastAsia="zh-CN"/>
              </w:rPr>
              <w:t>回转机构：整机上部 360°无死角连续旋转</w:t>
            </w:r>
            <w:r>
              <w:rPr>
                <w:rFonts w:hint="eastAsia" w:ascii="宋体" w:hAnsi="宋体" w:eastAsia="宋体" w:cs="宋体"/>
                <w:sz w:val="24"/>
                <w:szCs w:val="24"/>
                <w:lang w:val="en-US" w:eastAsia="zh-CN"/>
              </w:rPr>
              <w:br w:type="textWrapping"/>
            </w:r>
            <w:r>
              <w:rPr>
                <w:rFonts w:hint="eastAsia" w:ascii="宋体" w:hAnsi="宋体" w:eastAsia="宋体" w:cs="宋体"/>
                <w:sz w:val="24"/>
                <w:szCs w:val="24"/>
                <w:lang w:val="en-US" w:eastAsia="zh-CN"/>
              </w:rPr>
              <w:t>全部臂架内置过载、极限高度、极限幅度三重机械 + 电子限位</w:t>
            </w:r>
            <w:r>
              <w:rPr>
                <w:rFonts w:hint="eastAsia" w:ascii="宋体" w:hAnsi="宋体" w:eastAsia="宋体" w:cs="宋体"/>
                <w:sz w:val="24"/>
                <w:szCs w:val="24"/>
                <w:lang w:val="en-US" w:eastAsia="zh-CN"/>
              </w:rPr>
              <w:br w:type="textWrapping"/>
            </w:r>
            <w:r>
              <w:rPr>
                <w:rFonts w:hint="eastAsia" w:ascii="宋体" w:hAnsi="宋体" w:eastAsia="宋体" w:cs="宋体"/>
                <w:sz w:val="24"/>
                <w:szCs w:val="24"/>
                <w:lang w:val="en-US" w:eastAsia="zh-CN"/>
              </w:rPr>
              <w:t>臂架材质高强度合金结构钢，防锈喷砂喷涂处理</w:t>
            </w:r>
            <w:r>
              <w:rPr>
                <w:rFonts w:hint="eastAsia" w:ascii="宋体" w:hAnsi="宋体" w:eastAsia="宋体" w:cs="宋体"/>
                <w:sz w:val="24"/>
                <w:szCs w:val="24"/>
                <w:lang w:val="en-US" w:eastAsia="zh-CN"/>
              </w:rPr>
              <w:br w:type="textWrapping"/>
            </w:r>
            <w:r>
              <w:rPr>
                <w:rFonts w:hint="eastAsia" w:ascii="宋体" w:hAnsi="宋体" w:eastAsia="宋体" w:cs="宋体"/>
                <w:sz w:val="24"/>
                <w:szCs w:val="24"/>
                <w:lang w:val="en-US" w:eastAsia="zh-CN"/>
              </w:rPr>
              <w:t>承载冗余：满足平台载重≥200kg 满载举升无形变、抖动</w:t>
            </w:r>
          </w:p>
        </w:tc>
        <w:tc>
          <w:tcPr>
            <w:tcW w:w="313" w:type="pct"/>
            <w:shd w:val="clear" w:color="auto" w:fill="auto"/>
            <w:vAlign w:val="center"/>
          </w:tcPr>
          <w:p w14:paraId="3885D1E1">
            <w:pPr>
              <w:ind w:firstLine="0" w:firstLineChars="0"/>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套</w:t>
            </w:r>
          </w:p>
        </w:tc>
        <w:tc>
          <w:tcPr>
            <w:tcW w:w="294" w:type="pct"/>
            <w:shd w:val="clear" w:color="auto" w:fill="auto"/>
            <w:vAlign w:val="center"/>
          </w:tcPr>
          <w:p w14:paraId="35A8C22B">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color w:val="auto"/>
                <w:sz w:val="24"/>
                <w:szCs w:val="24"/>
                <w:highlight w:val="none"/>
                <w:lang w:val="en-US" w:eastAsia="zh-CN"/>
              </w:rPr>
            </w:pPr>
            <w:r>
              <w:rPr>
                <w:rFonts w:hint="eastAsia" w:ascii="宋体" w:hAnsi="宋体" w:eastAsia="宋体" w:cs="宋体"/>
                <w:i w:val="0"/>
                <w:iCs w:val="0"/>
                <w:color w:val="000000"/>
                <w:kern w:val="0"/>
                <w:sz w:val="24"/>
                <w:szCs w:val="24"/>
                <w:u w:val="none"/>
                <w:lang w:val="en-US" w:eastAsia="zh-CN" w:bidi="ar"/>
              </w:rPr>
              <w:t>1</w:t>
            </w:r>
          </w:p>
        </w:tc>
        <w:tc>
          <w:tcPr>
            <w:tcW w:w="368" w:type="pct"/>
            <w:shd w:val="clear" w:color="auto" w:fill="FF0000"/>
            <w:vAlign w:val="center"/>
          </w:tcPr>
          <w:p w14:paraId="238A294C">
            <w:pPr>
              <w:ind w:firstLine="0" w:firstLineChars="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接到供货通知后15日内</w:t>
            </w:r>
          </w:p>
        </w:tc>
        <w:tc>
          <w:tcPr>
            <w:tcW w:w="422" w:type="pct"/>
            <w:vAlign w:val="center"/>
          </w:tcPr>
          <w:p w14:paraId="6F0FEC96">
            <w:pPr>
              <w:ind w:firstLine="0" w:firstLineChars="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3年</w:t>
            </w:r>
          </w:p>
        </w:tc>
        <w:tc>
          <w:tcPr>
            <w:tcW w:w="342" w:type="pct"/>
            <w:shd w:val="clear" w:color="auto" w:fill="auto"/>
            <w:vAlign w:val="center"/>
          </w:tcPr>
          <w:p w14:paraId="1CEAE493">
            <w:pPr>
              <w:ind w:firstLine="0" w:firstLineChars="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买方指定地点</w:t>
            </w:r>
          </w:p>
        </w:tc>
        <w:tc>
          <w:tcPr>
            <w:tcW w:w="342" w:type="pct"/>
            <w:vMerge w:val="restart"/>
            <w:shd w:val="clear" w:color="auto" w:fill="auto"/>
            <w:vAlign w:val="center"/>
          </w:tcPr>
          <w:p w14:paraId="55E51282">
            <w:pPr>
              <w:ind w:firstLine="0" w:firstLineChars="0"/>
              <w:jc w:val="left"/>
              <w:rPr>
                <w:rFonts w:hint="eastAsia" w:ascii="宋体" w:hAnsi="宋体" w:eastAsia="宋体" w:cs="宋体"/>
                <w:color w:val="auto"/>
                <w:sz w:val="24"/>
                <w:szCs w:val="24"/>
                <w:highlight w:val="none"/>
                <w:lang w:eastAsia="zh-CN"/>
              </w:rPr>
            </w:pPr>
            <w:r>
              <w:rPr>
                <w:rFonts w:hint="eastAsia" w:ascii="宋体" w:hAnsi="宋体" w:eastAsia="宋体" w:cs="宋体"/>
                <w:b/>
                <w:bCs/>
                <w:color w:val="000000"/>
                <w:kern w:val="0"/>
                <w:sz w:val="24"/>
                <w:szCs w:val="24"/>
              </w:rPr>
              <w:t>业绩要求</w:t>
            </w:r>
            <w:r>
              <w:rPr>
                <w:rFonts w:hint="eastAsia" w:ascii="宋体" w:hAnsi="宋体" w:eastAsia="宋体" w:cs="宋体"/>
                <w:b/>
                <w:bCs/>
                <w:color w:val="000000"/>
                <w:kern w:val="0"/>
                <w:sz w:val="24"/>
                <w:szCs w:val="24"/>
                <w:lang w:eastAsia="zh-CN"/>
              </w:rPr>
              <w:t>：</w:t>
            </w:r>
            <w:r>
              <w:rPr>
                <w:rFonts w:hint="eastAsia" w:ascii="宋体" w:hAnsi="宋体" w:eastAsia="宋体" w:cs="宋体"/>
                <w:color w:val="000000" w:themeColor="text1"/>
                <w:kern w:val="0"/>
                <w:sz w:val="24"/>
                <w:szCs w:val="24"/>
                <w:highlight w:val="none"/>
                <w14:textFill>
                  <w14:solidFill>
                    <w14:schemeClr w14:val="tx1"/>
                  </w14:solidFill>
                </w14:textFill>
              </w:rPr>
              <w:t>2023年1月1日至2025年12月31日</w:t>
            </w:r>
            <w:r>
              <w:rPr>
                <w:rFonts w:hint="eastAsia" w:ascii="宋体" w:hAnsi="宋体" w:eastAsia="宋体" w:cs="宋体"/>
                <w:color w:val="000000" w:themeColor="text1"/>
                <w:kern w:val="0"/>
                <w:sz w:val="24"/>
                <w:szCs w:val="24"/>
                <w14:textFill>
                  <w14:solidFill>
                    <w14:schemeClr w14:val="tx1"/>
                  </w14:solidFill>
                </w14:textFill>
              </w:rPr>
              <w:t>，具有</w:t>
            </w:r>
            <w:r>
              <w:rPr>
                <w:rFonts w:hint="eastAsia" w:ascii="宋体" w:hAnsi="宋体" w:eastAsia="宋体" w:cs="宋体"/>
                <w:color w:val="000000" w:themeColor="text1"/>
                <w:kern w:val="0"/>
                <w:sz w:val="24"/>
                <w:szCs w:val="24"/>
                <w:highlight w:val="yellow"/>
                <w:lang w:val="en-US" w:eastAsia="zh-CN"/>
                <w14:textFill>
                  <w14:solidFill>
                    <w14:schemeClr w14:val="tx1"/>
                  </w14:solidFill>
                </w14:textFill>
              </w:rPr>
              <w:t>升降机</w:t>
            </w:r>
            <w:r>
              <w:rPr>
                <w:rFonts w:hint="eastAsia" w:ascii="宋体" w:hAnsi="宋体" w:eastAsia="宋体" w:cs="宋体"/>
                <w:color w:val="000000" w:themeColor="text1"/>
                <w:kern w:val="0"/>
                <w:sz w:val="24"/>
                <w:szCs w:val="24"/>
                <w14:textFill>
                  <w14:solidFill>
                    <w14:schemeClr w14:val="tx1"/>
                  </w14:solidFill>
                </w14:textFill>
              </w:rPr>
              <w:t>销售业绩不少于</w:t>
            </w:r>
            <w:r>
              <w:rPr>
                <w:rFonts w:hint="eastAsia" w:ascii="宋体" w:hAnsi="宋体" w:eastAsia="宋体" w:cs="宋体"/>
                <w:color w:val="000000" w:themeColor="text1"/>
                <w:kern w:val="0"/>
                <w:sz w:val="24"/>
                <w:szCs w:val="24"/>
                <w:lang w:val="en-US" w:eastAsia="zh-CN"/>
                <w14:textFill>
                  <w14:solidFill>
                    <w14:schemeClr w14:val="tx1"/>
                  </w14:solidFill>
                </w14:textFill>
              </w:rPr>
              <w:t>10</w:t>
            </w:r>
            <w:r>
              <w:rPr>
                <w:rFonts w:hint="eastAsia" w:ascii="宋体" w:hAnsi="宋体" w:eastAsia="宋体" w:cs="宋体"/>
                <w:color w:val="000000" w:themeColor="text1"/>
                <w:kern w:val="0"/>
                <w:sz w:val="24"/>
                <w:szCs w:val="24"/>
                <w14:textFill>
                  <w14:solidFill>
                    <w14:schemeClr w14:val="tx1"/>
                  </w14:solidFill>
                </w14:textFill>
              </w:rPr>
              <w:t>万元。注：业绩必须提供对应的合同复印件、发票和相应查验截图。</w:t>
            </w:r>
          </w:p>
        </w:tc>
      </w:tr>
      <w:tr w14:paraId="200FD2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69" w:type="pct"/>
            <w:vMerge w:val="continue"/>
            <w:vAlign w:val="center"/>
          </w:tcPr>
          <w:p w14:paraId="7CD99F6F">
            <w:pPr>
              <w:widowControl/>
              <w:snapToGrid w:val="0"/>
              <w:ind w:firstLine="0" w:firstLineChars="0"/>
              <w:rPr>
                <w:rFonts w:hint="eastAsia" w:ascii="宋体" w:hAnsi="宋体" w:eastAsia="宋体" w:cs="宋体"/>
                <w:color w:val="auto"/>
                <w:sz w:val="24"/>
                <w:szCs w:val="24"/>
              </w:rPr>
            </w:pPr>
          </w:p>
        </w:tc>
        <w:tc>
          <w:tcPr>
            <w:tcW w:w="631" w:type="pct"/>
            <w:shd w:val="clear" w:color="auto" w:fill="auto"/>
            <w:vAlign w:val="center"/>
          </w:tcPr>
          <w:p w14:paraId="0AD783DF">
            <w:pPr>
              <w:ind w:firstLine="0" w:firstLineChars="0"/>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底盘行走支撑模组</w:t>
            </w:r>
          </w:p>
        </w:tc>
        <w:tc>
          <w:tcPr>
            <w:tcW w:w="1715" w:type="pct"/>
            <w:shd w:val="clear" w:color="auto" w:fill="auto"/>
            <w:vAlign w:val="center"/>
          </w:tcPr>
          <w:p w14:paraId="2F3A9244">
            <w:pPr>
              <w:ind w:firstLine="0" w:firstLineChars="0"/>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行走履带：黑色橡胶伸缩履带，履带间距可调；最大行驶速度≥1.5km/h</w:t>
            </w:r>
            <w:r>
              <w:rPr>
                <w:rFonts w:hint="eastAsia" w:ascii="宋体" w:hAnsi="宋体" w:eastAsia="宋体" w:cs="宋体"/>
                <w:sz w:val="24"/>
                <w:szCs w:val="24"/>
                <w:lang w:val="en-US" w:eastAsia="zh-CN"/>
              </w:rPr>
              <w:br w:type="textWrapping"/>
            </w:r>
            <w:r>
              <w:rPr>
                <w:rFonts w:hint="eastAsia" w:ascii="宋体" w:hAnsi="宋体" w:eastAsia="宋体" w:cs="宋体"/>
                <w:sz w:val="24"/>
                <w:szCs w:val="24"/>
                <w:lang w:val="en-US" w:eastAsia="zh-CN"/>
              </w:rPr>
              <w:t>爬坡能力≥30%，侧向允许倾斜≥20%</w:t>
            </w:r>
            <w:r>
              <w:rPr>
                <w:rFonts w:hint="eastAsia" w:ascii="宋体" w:hAnsi="宋体" w:eastAsia="宋体" w:cs="宋体"/>
                <w:sz w:val="24"/>
                <w:szCs w:val="24"/>
                <w:lang w:val="en-US" w:eastAsia="zh-CN"/>
              </w:rPr>
              <w:br w:type="textWrapping"/>
            </w:r>
            <w:r>
              <w:rPr>
                <w:rFonts w:hint="eastAsia" w:ascii="宋体" w:hAnsi="宋体" w:eastAsia="宋体" w:cs="宋体"/>
                <w:sz w:val="24"/>
                <w:szCs w:val="24"/>
                <w:lang w:val="en-US" w:eastAsia="zh-CN"/>
              </w:rPr>
              <w:t>四支腿最大落差适配≥1.2m，自动一键调平</w:t>
            </w:r>
            <w:r>
              <w:rPr>
                <w:rFonts w:hint="eastAsia" w:ascii="宋体" w:hAnsi="宋体" w:eastAsia="宋体" w:cs="宋体"/>
                <w:sz w:val="24"/>
                <w:szCs w:val="24"/>
                <w:lang w:val="en-US" w:eastAsia="zh-CN"/>
              </w:rPr>
              <w:br w:type="textWrapping"/>
            </w:r>
            <w:r>
              <w:rPr>
                <w:rFonts w:hint="eastAsia" w:ascii="宋体" w:hAnsi="宋体" w:eastAsia="宋体" w:cs="宋体"/>
                <w:sz w:val="24"/>
                <w:szCs w:val="24"/>
                <w:lang w:val="en-US" w:eastAsia="zh-CN"/>
              </w:rPr>
              <w:t>支腿展开支撑面积 3.1m×3.7m</w:t>
            </w:r>
            <w:r>
              <w:rPr>
                <w:rFonts w:hint="eastAsia" w:ascii="宋体" w:hAnsi="宋体" w:eastAsia="宋体" w:cs="宋体"/>
                <w:sz w:val="24"/>
                <w:szCs w:val="24"/>
                <w:lang w:val="en-US" w:eastAsia="zh-CN"/>
              </w:rPr>
              <w:br w:type="textWrapping"/>
            </w:r>
            <w:r>
              <w:rPr>
                <w:rFonts w:hint="eastAsia" w:ascii="宋体" w:hAnsi="宋体" w:eastAsia="宋体" w:cs="宋体"/>
                <w:sz w:val="24"/>
                <w:szCs w:val="24"/>
                <w:lang w:val="en-US" w:eastAsia="zh-CN"/>
              </w:rPr>
              <w:t>动力双配置：柴油发动机 + 220V 交流外接电源</w:t>
            </w:r>
            <w:r>
              <w:rPr>
                <w:rFonts w:hint="eastAsia" w:ascii="宋体" w:hAnsi="宋体" w:eastAsia="宋体" w:cs="宋体"/>
                <w:sz w:val="24"/>
                <w:szCs w:val="24"/>
                <w:lang w:val="en-US" w:eastAsia="zh-CN"/>
              </w:rPr>
              <w:br w:type="textWrapping"/>
            </w:r>
            <w:r>
              <w:rPr>
                <w:rFonts w:hint="eastAsia" w:ascii="宋体" w:hAnsi="宋体" w:eastAsia="宋体" w:cs="宋体"/>
                <w:sz w:val="24"/>
                <w:szCs w:val="24"/>
                <w:lang w:val="en-US" w:eastAsia="zh-CN"/>
              </w:rPr>
              <w:t>收藏尺寸约束（底盘决定整机基础尺寸）：收藏宽度≤0.8m、收藏高度≤2.0m、收藏长度≤5.65m</w:t>
            </w:r>
            <w:r>
              <w:rPr>
                <w:rFonts w:hint="eastAsia" w:ascii="宋体" w:hAnsi="宋体" w:eastAsia="宋体" w:cs="宋体"/>
                <w:sz w:val="24"/>
                <w:szCs w:val="24"/>
                <w:lang w:val="en-US" w:eastAsia="zh-CN"/>
              </w:rPr>
              <w:br w:type="textWrapping"/>
            </w:r>
            <w:r>
              <w:rPr>
                <w:rFonts w:hint="eastAsia" w:ascii="宋体" w:hAnsi="宋体" w:eastAsia="宋体" w:cs="宋体"/>
                <w:sz w:val="24"/>
                <w:szCs w:val="24"/>
                <w:lang w:val="en-US" w:eastAsia="zh-CN"/>
              </w:rPr>
              <w:t>配套底盘安全倾角传感器、支腿到位锁止检测开关</w:t>
            </w:r>
            <w:r>
              <w:rPr>
                <w:rFonts w:hint="eastAsia" w:ascii="宋体" w:hAnsi="宋体" w:eastAsia="宋体" w:cs="宋体"/>
                <w:sz w:val="24"/>
                <w:szCs w:val="24"/>
                <w:lang w:val="en-US" w:eastAsia="zh-CN"/>
              </w:rPr>
              <w:br w:type="textWrapping"/>
            </w:r>
            <w:r>
              <w:rPr>
                <w:rFonts w:hint="eastAsia" w:ascii="宋体" w:hAnsi="宋体" w:eastAsia="宋体" w:cs="宋体"/>
                <w:sz w:val="24"/>
                <w:szCs w:val="24"/>
                <w:lang w:val="en-US" w:eastAsia="zh-CN"/>
              </w:rPr>
              <w:t>满足户外 - 20℃~+40℃、95% 湿度环境长期运行</w:t>
            </w:r>
          </w:p>
        </w:tc>
        <w:tc>
          <w:tcPr>
            <w:tcW w:w="313" w:type="pct"/>
            <w:shd w:val="clear" w:color="auto" w:fill="auto"/>
            <w:vAlign w:val="center"/>
          </w:tcPr>
          <w:p w14:paraId="36ADB959">
            <w:pPr>
              <w:ind w:firstLine="0" w:firstLineChars="0"/>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套</w:t>
            </w:r>
          </w:p>
        </w:tc>
        <w:tc>
          <w:tcPr>
            <w:tcW w:w="294" w:type="pct"/>
            <w:shd w:val="clear" w:color="auto" w:fill="auto"/>
            <w:vAlign w:val="center"/>
          </w:tcPr>
          <w:p w14:paraId="7C8AA9C9">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color w:val="auto"/>
                <w:sz w:val="24"/>
                <w:szCs w:val="24"/>
                <w:highlight w:val="none"/>
                <w:lang w:val="en-US" w:eastAsia="zh-CN"/>
              </w:rPr>
            </w:pPr>
            <w:r>
              <w:rPr>
                <w:rFonts w:hint="eastAsia" w:ascii="宋体" w:hAnsi="宋体" w:eastAsia="宋体" w:cs="宋体"/>
                <w:i w:val="0"/>
                <w:iCs w:val="0"/>
                <w:color w:val="000000"/>
                <w:kern w:val="0"/>
                <w:sz w:val="24"/>
                <w:szCs w:val="24"/>
                <w:u w:val="none"/>
                <w:lang w:val="en-US" w:eastAsia="zh-CN" w:bidi="ar"/>
              </w:rPr>
              <w:t>1</w:t>
            </w:r>
          </w:p>
        </w:tc>
        <w:tc>
          <w:tcPr>
            <w:tcW w:w="368" w:type="pct"/>
            <w:shd w:val="clear" w:color="auto" w:fill="FF0000"/>
            <w:vAlign w:val="center"/>
          </w:tcPr>
          <w:p w14:paraId="3BDDE7AE">
            <w:pPr>
              <w:ind w:firstLine="0" w:firstLineChars="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接到供货通知后15日内</w:t>
            </w:r>
          </w:p>
        </w:tc>
        <w:tc>
          <w:tcPr>
            <w:tcW w:w="422" w:type="pct"/>
            <w:vAlign w:val="center"/>
          </w:tcPr>
          <w:p w14:paraId="7D6B3284">
            <w:pPr>
              <w:ind w:firstLine="0" w:firstLineChars="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3年</w:t>
            </w:r>
          </w:p>
        </w:tc>
        <w:tc>
          <w:tcPr>
            <w:tcW w:w="342" w:type="pct"/>
            <w:shd w:val="clear" w:color="auto" w:fill="auto"/>
            <w:vAlign w:val="center"/>
          </w:tcPr>
          <w:p w14:paraId="4261CA0C">
            <w:pPr>
              <w:ind w:firstLine="0" w:firstLineChars="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买方指定地点</w:t>
            </w:r>
          </w:p>
        </w:tc>
        <w:tc>
          <w:tcPr>
            <w:tcW w:w="342" w:type="pct"/>
            <w:vMerge w:val="continue"/>
            <w:shd w:val="clear" w:color="auto" w:fill="auto"/>
            <w:vAlign w:val="center"/>
          </w:tcPr>
          <w:p w14:paraId="77162CD7">
            <w:pPr>
              <w:ind w:firstLine="0" w:firstLineChars="0"/>
              <w:jc w:val="left"/>
              <w:rPr>
                <w:rFonts w:hint="eastAsia" w:ascii="宋体" w:hAnsi="宋体" w:eastAsia="宋体" w:cs="宋体"/>
                <w:color w:val="auto"/>
                <w:sz w:val="24"/>
                <w:szCs w:val="24"/>
                <w:highlight w:val="none"/>
              </w:rPr>
            </w:pPr>
          </w:p>
        </w:tc>
      </w:tr>
      <w:tr w14:paraId="606B73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69" w:type="pct"/>
            <w:vMerge w:val="continue"/>
            <w:vAlign w:val="center"/>
          </w:tcPr>
          <w:p w14:paraId="79CF3D5C">
            <w:pPr>
              <w:widowControl/>
              <w:snapToGrid w:val="0"/>
              <w:ind w:firstLine="0" w:firstLineChars="0"/>
              <w:rPr>
                <w:rFonts w:hint="eastAsia" w:ascii="宋体" w:hAnsi="宋体" w:eastAsia="宋体" w:cs="宋体"/>
                <w:color w:val="auto"/>
                <w:sz w:val="24"/>
                <w:szCs w:val="24"/>
              </w:rPr>
            </w:pPr>
          </w:p>
        </w:tc>
        <w:tc>
          <w:tcPr>
            <w:tcW w:w="631" w:type="pct"/>
            <w:shd w:val="clear" w:color="auto" w:fill="auto"/>
            <w:vAlign w:val="center"/>
          </w:tcPr>
          <w:p w14:paraId="3530CDB3">
            <w:pPr>
              <w:ind w:firstLine="0" w:firstLineChars="0"/>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电控液压控制模组</w:t>
            </w:r>
          </w:p>
        </w:tc>
        <w:tc>
          <w:tcPr>
            <w:tcW w:w="1715" w:type="pct"/>
            <w:shd w:val="clear" w:color="auto" w:fill="auto"/>
            <w:vAlign w:val="center"/>
          </w:tcPr>
          <w:p w14:paraId="57A00EDE">
            <w:pPr>
              <w:ind w:firstLine="0" w:firstLineChars="0"/>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控制方式：全液压比例控制，动作无级调速</w:t>
            </w:r>
            <w:r>
              <w:rPr>
                <w:rFonts w:hint="eastAsia" w:ascii="宋体" w:hAnsi="宋体" w:eastAsia="宋体" w:cs="宋体"/>
                <w:sz w:val="24"/>
                <w:szCs w:val="24"/>
                <w:lang w:val="en-US" w:eastAsia="zh-CN"/>
              </w:rPr>
              <w:br w:type="textWrapping"/>
            </w:r>
            <w:r>
              <w:rPr>
                <w:rFonts w:hint="eastAsia" w:ascii="宋体" w:hAnsi="宋体" w:eastAsia="宋体" w:cs="宋体"/>
                <w:sz w:val="24"/>
                <w:szCs w:val="24"/>
                <w:lang w:val="en-US" w:eastAsia="zh-CN"/>
              </w:rPr>
              <w:t>标配有线液晶遥控器，实时显示整机故障代码、高度、幅度、支腿状态</w:t>
            </w:r>
            <w:r>
              <w:rPr>
                <w:rFonts w:hint="eastAsia" w:ascii="宋体" w:hAnsi="宋体" w:eastAsia="宋体" w:cs="宋体"/>
                <w:sz w:val="24"/>
                <w:szCs w:val="24"/>
                <w:lang w:val="en-US" w:eastAsia="zh-CN"/>
              </w:rPr>
              <w:br w:type="textWrapping"/>
            </w:r>
            <w:r>
              <w:rPr>
                <w:rFonts w:hint="eastAsia" w:ascii="宋体" w:hAnsi="宋体" w:eastAsia="宋体" w:cs="宋体"/>
                <w:sz w:val="24"/>
                <w:szCs w:val="24"/>
                <w:lang w:val="en-US" w:eastAsia="zh-CN"/>
              </w:rPr>
              <w:t>配套独立无线遥控套件，支持远距离行走、升降、回转操作</w:t>
            </w:r>
            <w:r>
              <w:rPr>
                <w:rFonts w:hint="eastAsia" w:ascii="宋体" w:hAnsi="宋体" w:eastAsia="宋体" w:cs="宋体"/>
                <w:sz w:val="24"/>
                <w:szCs w:val="24"/>
                <w:lang w:val="en-US" w:eastAsia="zh-CN"/>
              </w:rPr>
              <w:br w:type="textWrapping"/>
            </w:r>
            <w:r>
              <w:rPr>
                <w:rFonts w:hint="eastAsia" w:ascii="宋体" w:hAnsi="宋体" w:eastAsia="宋体" w:cs="宋体"/>
                <w:sz w:val="24"/>
                <w:szCs w:val="24"/>
                <w:lang w:val="en-US" w:eastAsia="zh-CN"/>
              </w:rPr>
              <w:t>液压系统带过载泄压、失压自动锁止保护</w:t>
            </w:r>
            <w:r>
              <w:rPr>
                <w:rFonts w:hint="eastAsia" w:ascii="宋体" w:hAnsi="宋体" w:eastAsia="宋体" w:cs="宋体"/>
                <w:sz w:val="24"/>
                <w:szCs w:val="24"/>
                <w:lang w:val="en-US" w:eastAsia="zh-CN"/>
              </w:rPr>
              <w:br w:type="textWrapping"/>
            </w:r>
            <w:r>
              <w:rPr>
                <w:rFonts w:hint="eastAsia" w:ascii="宋体" w:hAnsi="宋体" w:eastAsia="宋体" w:cs="宋体"/>
                <w:sz w:val="24"/>
                <w:szCs w:val="24"/>
                <w:lang w:val="en-US" w:eastAsia="zh-CN"/>
              </w:rPr>
              <w:t>电控系统具备高低温适应能力，-20℃低温启动无故障</w:t>
            </w:r>
            <w:r>
              <w:rPr>
                <w:rFonts w:hint="eastAsia" w:ascii="宋体" w:hAnsi="宋体" w:eastAsia="宋体" w:cs="宋体"/>
                <w:sz w:val="24"/>
                <w:szCs w:val="24"/>
                <w:lang w:val="en-US" w:eastAsia="zh-CN"/>
              </w:rPr>
              <w:br w:type="textWrapping"/>
            </w:r>
            <w:r>
              <w:rPr>
                <w:rFonts w:hint="eastAsia" w:ascii="宋体" w:hAnsi="宋体" w:eastAsia="宋体" w:cs="宋体"/>
                <w:sz w:val="24"/>
                <w:szCs w:val="24"/>
                <w:lang w:val="en-US" w:eastAsia="zh-CN"/>
              </w:rPr>
              <w:t>全部线缆阻燃耐油，满足电力设备安全防护要求</w:t>
            </w:r>
            <w:r>
              <w:rPr>
                <w:rFonts w:hint="eastAsia" w:ascii="宋体" w:hAnsi="宋体" w:eastAsia="宋体" w:cs="宋体"/>
                <w:sz w:val="24"/>
                <w:szCs w:val="24"/>
                <w:lang w:val="en-US" w:eastAsia="zh-CN"/>
              </w:rPr>
              <w:br w:type="textWrapping"/>
            </w:r>
            <w:r>
              <w:rPr>
                <w:rFonts w:hint="eastAsia" w:ascii="宋体" w:hAnsi="宋体" w:eastAsia="宋体" w:cs="宋体"/>
                <w:sz w:val="24"/>
                <w:szCs w:val="24"/>
                <w:lang w:val="en-US" w:eastAsia="zh-CN"/>
              </w:rPr>
              <w:t>内置整机故障自检程序，匹配国网设备监造、出厂试验要求</w:t>
            </w:r>
          </w:p>
        </w:tc>
        <w:tc>
          <w:tcPr>
            <w:tcW w:w="313" w:type="pct"/>
            <w:shd w:val="clear" w:color="auto" w:fill="auto"/>
            <w:vAlign w:val="center"/>
          </w:tcPr>
          <w:p w14:paraId="17A7A197">
            <w:pPr>
              <w:ind w:firstLine="0" w:firstLineChars="0"/>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套</w:t>
            </w:r>
          </w:p>
        </w:tc>
        <w:tc>
          <w:tcPr>
            <w:tcW w:w="294" w:type="pct"/>
            <w:shd w:val="clear" w:color="auto" w:fill="auto"/>
            <w:vAlign w:val="center"/>
          </w:tcPr>
          <w:p w14:paraId="3442FE18">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color w:val="auto"/>
                <w:sz w:val="24"/>
                <w:szCs w:val="24"/>
                <w:highlight w:val="none"/>
                <w:lang w:val="en-US" w:eastAsia="zh-CN"/>
              </w:rPr>
            </w:pPr>
            <w:r>
              <w:rPr>
                <w:rFonts w:hint="eastAsia" w:ascii="宋体" w:hAnsi="宋体" w:eastAsia="宋体" w:cs="宋体"/>
                <w:i w:val="0"/>
                <w:iCs w:val="0"/>
                <w:color w:val="000000"/>
                <w:kern w:val="0"/>
                <w:sz w:val="24"/>
                <w:szCs w:val="24"/>
                <w:u w:val="none"/>
                <w:lang w:val="en-US" w:eastAsia="zh-CN" w:bidi="ar"/>
              </w:rPr>
              <w:t>1</w:t>
            </w:r>
          </w:p>
        </w:tc>
        <w:tc>
          <w:tcPr>
            <w:tcW w:w="368" w:type="pct"/>
            <w:shd w:val="clear" w:color="auto" w:fill="FF0000"/>
            <w:vAlign w:val="center"/>
          </w:tcPr>
          <w:p w14:paraId="482A05FC">
            <w:pPr>
              <w:ind w:firstLine="0" w:firstLineChars="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接到供货通知后15日内</w:t>
            </w:r>
          </w:p>
        </w:tc>
        <w:tc>
          <w:tcPr>
            <w:tcW w:w="422" w:type="pct"/>
            <w:vAlign w:val="center"/>
          </w:tcPr>
          <w:p w14:paraId="5F8DDADF">
            <w:pPr>
              <w:ind w:firstLine="0" w:firstLineChars="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3年</w:t>
            </w:r>
          </w:p>
        </w:tc>
        <w:tc>
          <w:tcPr>
            <w:tcW w:w="342" w:type="pct"/>
            <w:shd w:val="clear" w:color="auto" w:fill="auto"/>
            <w:vAlign w:val="center"/>
          </w:tcPr>
          <w:p w14:paraId="0A1372A6">
            <w:pPr>
              <w:ind w:firstLine="0" w:firstLineChars="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买方指定地点</w:t>
            </w:r>
          </w:p>
        </w:tc>
        <w:tc>
          <w:tcPr>
            <w:tcW w:w="342" w:type="pct"/>
            <w:vMerge w:val="continue"/>
            <w:shd w:val="clear" w:color="auto" w:fill="auto"/>
            <w:vAlign w:val="center"/>
          </w:tcPr>
          <w:p w14:paraId="41E1430B">
            <w:pPr>
              <w:ind w:firstLine="0" w:firstLineChars="0"/>
              <w:jc w:val="left"/>
              <w:rPr>
                <w:rFonts w:hint="eastAsia" w:ascii="宋体" w:hAnsi="宋体" w:eastAsia="宋体" w:cs="宋体"/>
                <w:color w:val="auto"/>
                <w:sz w:val="24"/>
                <w:szCs w:val="24"/>
                <w:highlight w:val="none"/>
              </w:rPr>
            </w:pPr>
          </w:p>
        </w:tc>
      </w:tr>
      <w:tr w14:paraId="5D77FE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69" w:type="pct"/>
            <w:vMerge w:val="continue"/>
            <w:vAlign w:val="center"/>
          </w:tcPr>
          <w:p w14:paraId="2E8BE8FC">
            <w:pPr>
              <w:widowControl/>
              <w:snapToGrid w:val="0"/>
              <w:ind w:firstLine="0" w:firstLineChars="0"/>
              <w:rPr>
                <w:rFonts w:hint="eastAsia" w:ascii="宋体" w:hAnsi="宋体" w:eastAsia="宋体" w:cs="宋体"/>
                <w:color w:val="auto"/>
                <w:sz w:val="24"/>
                <w:szCs w:val="24"/>
              </w:rPr>
            </w:pPr>
          </w:p>
        </w:tc>
        <w:tc>
          <w:tcPr>
            <w:tcW w:w="631" w:type="pct"/>
            <w:shd w:val="clear" w:color="auto" w:fill="auto"/>
            <w:vAlign w:val="center"/>
          </w:tcPr>
          <w:p w14:paraId="09FE8F03">
            <w:pPr>
              <w:ind w:firstLine="0" w:firstLineChars="0"/>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操作平台配套安全组件</w:t>
            </w:r>
          </w:p>
        </w:tc>
        <w:tc>
          <w:tcPr>
            <w:tcW w:w="1715" w:type="pct"/>
            <w:shd w:val="clear" w:color="auto" w:fill="auto"/>
            <w:vAlign w:val="center"/>
          </w:tcPr>
          <w:p w14:paraId="539D2F86">
            <w:pPr>
              <w:ind w:firstLine="0" w:firstLineChars="0"/>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工作斗外部尺寸≥0.9m×0.8m×1.1m</w:t>
            </w:r>
            <w:r>
              <w:rPr>
                <w:rFonts w:hint="eastAsia" w:ascii="宋体" w:hAnsi="宋体" w:eastAsia="宋体" w:cs="宋体"/>
                <w:sz w:val="24"/>
                <w:szCs w:val="24"/>
                <w:lang w:val="en-US" w:eastAsia="zh-CN"/>
              </w:rPr>
              <w:br w:type="textWrapping"/>
            </w:r>
            <w:r>
              <w:rPr>
                <w:rFonts w:hint="eastAsia" w:ascii="宋体" w:hAnsi="宋体" w:eastAsia="宋体" w:cs="宋体"/>
                <w:sz w:val="24"/>
                <w:szCs w:val="24"/>
                <w:lang w:val="en-US" w:eastAsia="zh-CN"/>
              </w:rPr>
              <w:t>平台额定载重≥200kg，内置称重超载报警 + 强制锁止</w:t>
            </w:r>
            <w:r>
              <w:rPr>
                <w:rFonts w:hint="eastAsia" w:ascii="宋体" w:hAnsi="宋体" w:eastAsia="宋体" w:cs="宋体"/>
                <w:sz w:val="24"/>
                <w:szCs w:val="24"/>
                <w:lang w:val="en-US" w:eastAsia="zh-CN"/>
              </w:rPr>
              <w:br w:type="textWrapping"/>
            </w:r>
            <w:r>
              <w:rPr>
                <w:rFonts w:hint="eastAsia" w:ascii="宋体" w:hAnsi="宋体" w:eastAsia="宋体" w:cs="宋体"/>
                <w:sz w:val="24"/>
                <w:szCs w:val="24"/>
                <w:lang w:val="en-US" w:eastAsia="zh-CN"/>
              </w:rPr>
              <w:t>多重安全装置：红外防撞、机械限位、上下双急停开关</w:t>
            </w:r>
            <w:r>
              <w:rPr>
                <w:rFonts w:hint="eastAsia" w:ascii="宋体" w:hAnsi="宋体" w:eastAsia="宋体" w:cs="宋体"/>
                <w:sz w:val="24"/>
                <w:szCs w:val="24"/>
                <w:lang w:val="en-US" w:eastAsia="zh-CN"/>
              </w:rPr>
              <w:br w:type="textWrapping"/>
            </w:r>
            <w:r>
              <w:rPr>
                <w:rFonts w:hint="eastAsia" w:ascii="宋体" w:hAnsi="宋体" w:eastAsia="宋体" w:cs="宋体"/>
                <w:sz w:val="24"/>
                <w:szCs w:val="24"/>
                <w:lang w:val="en-US" w:eastAsia="zh-CN"/>
              </w:rPr>
              <w:t>平台绝缘适配电网 10kV/35kV 常规停电检修作业需求</w:t>
            </w:r>
            <w:r>
              <w:rPr>
                <w:rFonts w:hint="eastAsia" w:ascii="宋体" w:hAnsi="宋体" w:eastAsia="宋体" w:cs="宋体"/>
                <w:sz w:val="24"/>
                <w:szCs w:val="24"/>
                <w:lang w:val="en-US" w:eastAsia="zh-CN"/>
              </w:rPr>
              <w:br w:type="textWrapping"/>
            </w:r>
            <w:r>
              <w:rPr>
                <w:rFonts w:hint="eastAsia" w:ascii="宋体" w:hAnsi="宋体" w:eastAsia="宋体" w:cs="宋体"/>
                <w:sz w:val="24"/>
                <w:szCs w:val="24"/>
                <w:lang w:val="en-US" w:eastAsia="zh-CN"/>
              </w:rPr>
              <w:t>平台自带局部操作手柄，可独立控制升降回转</w:t>
            </w:r>
            <w:r>
              <w:rPr>
                <w:rFonts w:hint="eastAsia" w:ascii="宋体" w:hAnsi="宋体" w:eastAsia="宋体" w:cs="宋体"/>
                <w:sz w:val="24"/>
                <w:szCs w:val="24"/>
                <w:lang w:val="en-US" w:eastAsia="zh-CN"/>
              </w:rPr>
              <w:br w:type="textWrapping"/>
            </w:r>
            <w:r>
              <w:rPr>
                <w:rFonts w:hint="eastAsia" w:ascii="宋体" w:hAnsi="宋体" w:eastAsia="宋体" w:cs="宋体"/>
                <w:sz w:val="24"/>
                <w:szCs w:val="24"/>
                <w:lang w:val="en-US" w:eastAsia="zh-CN"/>
              </w:rPr>
              <w:t>防腐防水结构，适应户外高湿、e 级污秽等级环境</w:t>
            </w:r>
          </w:p>
        </w:tc>
        <w:tc>
          <w:tcPr>
            <w:tcW w:w="313" w:type="pct"/>
            <w:shd w:val="clear" w:color="auto" w:fill="auto"/>
            <w:vAlign w:val="center"/>
          </w:tcPr>
          <w:p w14:paraId="214E7022">
            <w:pPr>
              <w:ind w:firstLine="0" w:firstLineChars="0"/>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套</w:t>
            </w:r>
          </w:p>
        </w:tc>
        <w:tc>
          <w:tcPr>
            <w:tcW w:w="294" w:type="pct"/>
            <w:shd w:val="clear" w:color="auto" w:fill="auto"/>
            <w:vAlign w:val="center"/>
          </w:tcPr>
          <w:p w14:paraId="6BB68380">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color w:val="auto"/>
                <w:sz w:val="24"/>
                <w:szCs w:val="24"/>
                <w:highlight w:val="none"/>
                <w:lang w:val="en-US" w:eastAsia="zh-CN"/>
              </w:rPr>
            </w:pPr>
            <w:r>
              <w:rPr>
                <w:rFonts w:hint="eastAsia" w:ascii="宋体" w:hAnsi="宋体" w:eastAsia="宋体" w:cs="宋体"/>
                <w:i w:val="0"/>
                <w:iCs w:val="0"/>
                <w:color w:val="000000"/>
                <w:kern w:val="0"/>
                <w:sz w:val="24"/>
                <w:szCs w:val="24"/>
                <w:u w:val="none"/>
                <w:lang w:val="en-US" w:eastAsia="zh-CN" w:bidi="ar"/>
              </w:rPr>
              <w:t>1</w:t>
            </w:r>
          </w:p>
        </w:tc>
        <w:tc>
          <w:tcPr>
            <w:tcW w:w="368" w:type="pct"/>
            <w:shd w:val="clear" w:color="auto" w:fill="FF0000"/>
            <w:vAlign w:val="center"/>
          </w:tcPr>
          <w:p w14:paraId="5896C8DE">
            <w:pPr>
              <w:ind w:firstLine="0" w:firstLineChars="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接到供货通知后15日内</w:t>
            </w:r>
          </w:p>
        </w:tc>
        <w:tc>
          <w:tcPr>
            <w:tcW w:w="422" w:type="pct"/>
            <w:vAlign w:val="center"/>
          </w:tcPr>
          <w:p w14:paraId="3491655E">
            <w:pPr>
              <w:ind w:firstLine="0" w:firstLineChars="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3年</w:t>
            </w:r>
          </w:p>
        </w:tc>
        <w:tc>
          <w:tcPr>
            <w:tcW w:w="342" w:type="pct"/>
            <w:shd w:val="clear" w:color="auto" w:fill="auto"/>
            <w:vAlign w:val="center"/>
          </w:tcPr>
          <w:p w14:paraId="53BC8621">
            <w:pPr>
              <w:ind w:firstLine="0" w:firstLineChars="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买方指定地点</w:t>
            </w:r>
          </w:p>
        </w:tc>
        <w:tc>
          <w:tcPr>
            <w:tcW w:w="342" w:type="pct"/>
            <w:vMerge w:val="continue"/>
            <w:shd w:val="clear" w:color="auto" w:fill="auto"/>
            <w:vAlign w:val="center"/>
          </w:tcPr>
          <w:p w14:paraId="6E9638F5">
            <w:pPr>
              <w:ind w:firstLine="0" w:firstLineChars="0"/>
              <w:jc w:val="left"/>
              <w:rPr>
                <w:rFonts w:hint="eastAsia" w:ascii="宋体" w:hAnsi="宋体" w:eastAsia="宋体" w:cs="宋体"/>
                <w:color w:val="auto"/>
                <w:sz w:val="24"/>
                <w:szCs w:val="24"/>
                <w:highlight w:val="none"/>
              </w:rPr>
            </w:pPr>
          </w:p>
        </w:tc>
      </w:tr>
    </w:tbl>
    <w:p w14:paraId="75CF387D">
      <w:pPr>
        <w:keepNext w:val="0"/>
        <w:keepLines w:val="0"/>
        <w:pageBreakBefore w:val="0"/>
        <w:widowControl w:val="0"/>
        <w:shd w:val="clear"/>
        <w:kinsoku/>
        <w:wordWrap/>
        <w:overflowPunct/>
        <w:topLinePunct w:val="0"/>
        <w:bidi w:val="0"/>
        <w:adjustRightInd w:val="0"/>
        <w:snapToGrid w:val="0"/>
        <w:spacing w:after="0" w:line="400" w:lineRule="exact"/>
        <w:jc w:val="both"/>
        <w:textAlignment w:val="auto"/>
        <w:rPr>
          <w:rFonts w:hint="eastAsia" w:ascii="宋体" w:hAnsi="宋体" w:eastAsia="宋体" w:cs="宋体"/>
          <w:color w:val="auto"/>
          <w:kern w:val="2"/>
          <w:sz w:val="21"/>
          <w:szCs w:val="21"/>
          <w:highlight w:val="none"/>
          <w:lang w:eastAsia="zh-CN" w:bidi="ar-SA"/>
        </w:rPr>
      </w:pPr>
    </w:p>
    <w:p w14:paraId="45F33534">
      <w:pPr>
        <w:keepNext w:val="0"/>
        <w:keepLines w:val="0"/>
        <w:pageBreakBefore w:val="0"/>
        <w:shd w:val="clear"/>
        <w:kinsoku/>
        <w:wordWrap/>
        <w:overflowPunct/>
        <w:topLinePunct w:val="0"/>
        <w:bidi w:val="0"/>
        <w:adjustRightInd w:val="0"/>
        <w:snapToGrid w:val="0"/>
        <w:spacing w:beforeLines="-2147483648" w:afterLines="-2147483648" w:line="400" w:lineRule="exact"/>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具体供货不局限于上述产品。应包括上述产品相关配件，类似升级产品。</w:t>
      </w:r>
    </w:p>
    <w:p w14:paraId="41695FA7">
      <w:pPr>
        <w:keepNext w:val="0"/>
        <w:keepLines w:val="0"/>
        <w:pageBreakBefore w:val="0"/>
        <w:shd w:val="clear"/>
        <w:kinsoku/>
        <w:wordWrap/>
        <w:overflowPunct/>
        <w:topLinePunct w:val="0"/>
        <w:bidi w:val="0"/>
        <w:adjustRightInd w:val="0"/>
        <w:snapToGrid w:val="0"/>
        <w:spacing w:beforeLines="-2147483648" w:afterLines="-2147483648" w:line="400" w:lineRule="exact"/>
        <w:textAlignment w:val="auto"/>
        <w:rPr>
          <w:rFonts w:hint="eastAsia" w:ascii="宋体" w:hAnsi="宋体" w:eastAsia="宋体" w:cs="宋体"/>
          <w:color w:val="auto"/>
          <w:sz w:val="24"/>
          <w:szCs w:val="24"/>
          <w:highlight w:val="none"/>
        </w:rPr>
      </w:pPr>
      <w:r>
        <w:rPr>
          <w:rFonts w:hint="eastAsia" w:ascii="宋体" w:hAnsi="宋体" w:eastAsia="宋体" w:cs="宋体"/>
          <w:sz w:val="24"/>
          <w:szCs w:val="24"/>
          <w:highlight w:val="none"/>
        </w:rPr>
        <w:t>备注：</w:t>
      </w:r>
      <w:r>
        <w:rPr>
          <w:rFonts w:hint="eastAsia" w:ascii="宋体" w:hAnsi="宋体" w:eastAsia="宋体" w:cs="宋体"/>
          <w:color w:val="auto"/>
          <w:sz w:val="24"/>
          <w:szCs w:val="24"/>
          <w:highlight w:val="none"/>
        </w:rPr>
        <w:t>1.取得《国家电网有限公司集中规模招标采购供应商资质能力核实证明》</w:t>
      </w:r>
      <w:r>
        <w:rPr>
          <w:rFonts w:hint="eastAsia" w:ascii="宋体" w:hAnsi="宋体" w:eastAsia="宋体" w:cs="宋体"/>
          <w:color w:val="auto"/>
          <w:sz w:val="24"/>
          <w:szCs w:val="24"/>
          <w:highlight w:val="none"/>
          <w:lang w:eastAsia="zh-CN"/>
        </w:rPr>
        <w:t>或《国网智能科技股份有限公司集中规模招标采购供应商资质能力核实证明》</w:t>
      </w:r>
      <w:r>
        <w:rPr>
          <w:rFonts w:hint="eastAsia" w:ascii="宋体" w:hAnsi="宋体" w:eastAsia="宋体" w:cs="宋体"/>
          <w:color w:val="auto"/>
          <w:sz w:val="24"/>
          <w:szCs w:val="24"/>
          <w:highlight w:val="none"/>
        </w:rPr>
        <w:t>（以下简称《核实证明》）的投标人，应按要求使用该《核实证明》。《核实证明》含有的业绩、试验报告不能满足招标文件要求的，需要提供满足要求的业绩、试验报告等证明材料；未取得《核实证明》的，投标人需要提供对应支持证明材料。</w:t>
      </w:r>
    </w:p>
    <w:p w14:paraId="164BF8C9">
      <w:pPr>
        <w:keepNext w:val="0"/>
        <w:keepLines w:val="0"/>
        <w:pageBreakBefore w:val="0"/>
        <w:shd w:val="clear"/>
        <w:kinsoku/>
        <w:wordWrap/>
        <w:overflowPunct/>
        <w:topLinePunct w:val="0"/>
        <w:bidi w:val="0"/>
        <w:adjustRightInd w:val="0"/>
        <w:snapToGrid w:val="0"/>
        <w:spacing w:beforeLines="-2147483648" w:afterLines="-2147483648" w:line="40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2.投标文件中提供的证明材料复印件应复印清晰、可辨认且不得遮盖、涂抹，否则视为无效。</w:t>
      </w:r>
    </w:p>
    <w:p w14:paraId="0E81FC15">
      <w:pPr>
        <w:keepNext w:val="0"/>
        <w:keepLines w:val="0"/>
        <w:pageBreakBefore w:val="0"/>
        <w:shd w:val="clear"/>
        <w:kinsoku/>
        <w:wordWrap/>
        <w:overflowPunct/>
        <w:topLinePunct w:val="0"/>
        <w:bidi w:val="0"/>
        <w:adjustRightInd w:val="0"/>
        <w:snapToGrid w:val="0"/>
        <w:spacing w:beforeLines="-2147483648" w:afterLines="-2147483648" w:line="40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4"/>
          <w:szCs w:val="24"/>
          <w:highlight w:val="none"/>
          <w:lang w:val="en-US" w:eastAsia="zh-CN"/>
        </w:rPr>
        <w:t>3.合同金额以所提供的发票及查验截图为准，业绩发票影印件后须附通过国家税务总局全国增值税发票查验平台（网址：https://inv-veri.chinatax.gov.cn/）查验的发票结果截图，“一发票一截图”，业绩认定时间以合同签订时间为准，合同签订时间不得晚于项目“专用业绩要求”中要求的时间。未提供发票或未提供对应发票查验结果截图的或合同签订时间晚于项目“专用业绩要求”中要求的时间的业绩不予认可。所有业绩支撑证明材料内容须保证清晰、可辨认且不得遮盖、涂抹。</w:t>
      </w:r>
    </w:p>
    <w:sectPr>
      <w:footerReference r:id="rId4" w:type="default"/>
      <w:pgSz w:w="16838" w:h="11906" w:orient="landscape"/>
      <w:pgMar w:top="1134" w:right="1440" w:bottom="1134" w:left="1440" w:header="851" w:footer="992" w:gutter="0"/>
      <w:cols w:space="0" w:num="1"/>
      <w:rtlGutter w:val="0"/>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Microsoft JhengHei">
    <w:panose1 w:val="020B0604030504040204"/>
    <w:charset w:val="88"/>
    <w:family w:val="swiss"/>
    <w:pitch w:val="default"/>
    <w:sig w:usb0="000002A7" w:usb1="28CF4400" w:usb2="00000016" w:usb3="00000000" w:csb0="0010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2F4FE1">
    <w:pPr>
      <w:pStyle w:val="8"/>
      <w:spacing w:beforeLines="0" w:afterLines="0"/>
      <w:jc w:val="center"/>
      <w:rPr>
        <w:rFonts w:hint="eastAsia" w:eastAsia="等线"/>
        <w:sz w:val="18"/>
        <w:szCs w:val="18"/>
      </w:rPr>
    </w:pPr>
    <w:r>
      <w:rPr>
        <w:rFonts w:hint="default"/>
        <w:sz w:val="18"/>
        <w:szCs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57785" cy="131445"/>
              <wp:effectExtent l="0" t="0" r="0" b="0"/>
              <wp:wrapNone/>
              <wp:docPr id="1" name="文本框 1"/>
              <wp:cNvGraphicFramePr/>
              <a:graphic xmlns:a="http://schemas.openxmlformats.org/drawingml/2006/main">
                <a:graphicData uri="http://schemas.microsoft.com/office/word/2010/wordprocessingShape">
                  <wps:wsp>
                    <wps:cNvSpPr txBox="1"/>
                    <wps:spPr>
                      <a:xfrm>
                        <a:off x="0" y="0"/>
                        <a:ext cx="57785" cy="131445"/>
                      </a:xfrm>
                      <a:prstGeom prst="rect">
                        <a:avLst/>
                      </a:prstGeom>
                      <a:noFill/>
                      <a:ln>
                        <a:noFill/>
                      </a:ln>
                    </wps:spPr>
                    <wps:txbx>
                      <w:txbxContent>
                        <w:p w14:paraId="7DA4308A">
                          <w:pPr>
                            <w:pStyle w:val="8"/>
                            <w:spacing w:beforeLines="0" w:afterLines="0"/>
                            <w:rPr>
                              <w:rFonts w:hint="default" w:eastAsia="宋体"/>
                              <w:sz w:val="18"/>
                              <w:szCs w:val="18"/>
                            </w:rPr>
                          </w:pPr>
                          <w:r>
                            <w:rPr>
                              <w:rFonts w:hint="eastAsia" w:eastAsia="宋体"/>
                              <w:sz w:val="18"/>
                              <w:szCs w:val="18"/>
                            </w:rPr>
                            <w:fldChar w:fldCharType="begin"/>
                          </w:r>
                          <w:r>
                            <w:rPr>
                              <w:rFonts w:hint="eastAsia" w:eastAsia="宋体"/>
                              <w:sz w:val="18"/>
                              <w:szCs w:val="18"/>
                            </w:rPr>
                            <w:instrText xml:space="preserve"> PAGE  \* MERGEFORMAT </w:instrText>
                          </w:r>
                          <w:r>
                            <w:rPr>
                              <w:rFonts w:hint="eastAsia" w:eastAsia="宋体"/>
                              <w:sz w:val="18"/>
                              <w:szCs w:val="18"/>
                            </w:rPr>
                            <w:fldChar w:fldCharType="separate"/>
                          </w:r>
                          <w:r>
                            <w:rPr>
                              <w:rFonts w:hint="eastAsia" w:eastAsia="宋体"/>
                              <w:sz w:val="18"/>
                              <w:szCs w:val="18"/>
                            </w:rPr>
                            <w:t>6</w:t>
                          </w:r>
                          <w:r>
                            <w:rPr>
                              <w:rFonts w:hint="eastAsia" w:eastAsia="宋体"/>
                              <w:sz w:val="18"/>
                              <w:szCs w:val="18"/>
                            </w:rPr>
                            <w:fldChar w:fldCharType="end"/>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0.35pt;width:4.55pt;mso-position-horizontal:center;mso-position-horizontal-relative:margin;mso-wrap-style:none;z-index:251659264;mso-width-relative:page;mso-height-relative:page;" filled="f" stroked="f" coordsize="21600,21600" o:gfxdata="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M+L3UTQAAAAAgEAAA8AAAAAAAAAAQAgAAAAIgAAAGRycy9kb3du&#10;cmV2LnhtbFBLAQIUABQAAAAIAIdO4kDXOMk/zgEAAJYDAAAOAAAAAAAAAAEAIAAAAB8BAABkcnMv&#10;ZTJvRG9jLnhtbFBLBQYAAAAABgAGAFkBAABfBQAAAAA=&#10;">
              <v:fill on="f" focussize="0,0"/>
              <v:stroke on="f"/>
              <v:imagedata o:title=""/>
              <o:lock v:ext="edit" aspectratio="f"/>
              <v:textbox inset="0mm,0mm,0mm,0mm" style="mso-fit-shape-to-text:t;">
                <w:txbxContent>
                  <w:p w14:paraId="7DA4308A">
                    <w:pPr>
                      <w:pStyle w:val="8"/>
                      <w:spacing w:beforeLines="0" w:afterLines="0"/>
                      <w:rPr>
                        <w:rFonts w:hint="default" w:eastAsia="宋体"/>
                        <w:sz w:val="18"/>
                        <w:szCs w:val="18"/>
                      </w:rPr>
                    </w:pPr>
                    <w:r>
                      <w:rPr>
                        <w:rFonts w:hint="eastAsia" w:eastAsia="宋体"/>
                        <w:sz w:val="18"/>
                        <w:szCs w:val="18"/>
                      </w:rPr>
                      <w:fldChar w:fldCharType="begin"/>
                    </w:r>
                    <w:r>
                      <w:rPr>
                        <w:rFonts w:hint="eastAsia" w:eastAsia="宋体"/>
                        <w:sz w:val="18"/>
                        <w:szCs w:val="18"/>
                      </w:rPr>
                      <w:instrText xml:space="preserve"> PAGE  \* MERGEFORMAT </w:instrText>
                    </w:r>
                    <w:r>
                      <w:rPr>
                        <w:rFonts w:hint="eastAsia" w:eastAsia="宋体"/>
                        <w:sz w:val="18"/>
                        <w:szCs w:val="18"/>
                      </w:rPr>
                      <w:fldChar w:fldCharType="separate"/>
                    </w:r>
                    <w:r>
                      <w:rPr>
                        <w:rFonts w:hint="eastAsia" w:eastAsia="宋体"/>
                        <w:sz w:val="18"/>
                        <w:szCs w:val="18"/>
                      </w:rPr>
                      <w:t>6</w:t>
                    </w:r>
                    <w:r>
                      <w:rPr>
                        <w:rFonts w:hint="eastAsia" w:eastAsia="宋体"/>
                        <w:sz w:val="18"/>
                        <w:szCs w:val="18"/>
                      </w:rPr>
                      <w:fldChar w:fldCharType="end"/>
                    </w:r>
                  </w:p>
                </w:txbxContent>
              </v:textbox>
            </v:shape>
          </w:pict>
        </mc:Fallback>
      </mc:AlternateContent>
    </w:r>
    <w:r>
      <w:rPr>
        <w:rFonts w:hint="eastAsia" w:eastAsia="等线"/>
        <w:sz w:val="18"/>
        <w:szCs w:val="18"/>
      </w:rPr>
      <w:t xml:space="preserve">     </w:t>
    </w:r>
  </w:p>
  <w:p w14:paraId="4C1BA968">
    <w:pPr>
      <w:pStyle w:val="8"/>
      <w:spacing w:beforeLines="0" w:afterLines="0"/>
      <w:rPr>
        <w:rFonts w:hint="default"/>
        <w:sz w:val="18"/>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5"/>
  <w:embedSystemFonts/>
  <w:bordersDoNotSurroundHeader w:val="0"/>
  <w:bordersDoNotSurroundFooter w:val="0"/>
  <w:documentProtection w:enforcement="0"/>
  <w:defaultTabStop w:val="420"/>
  <w:drawingGridHorizontalSpacing w:val="210"/>
  <w:drawingGridVerticalSpacing w:val="156"/>
  <w:displayHorizontalDrawingGridEvery w:val="1"/>
  <w:displayVerticalDrawingGridEvery w:val="1"/>
  <w:noPunctuationKerning w:val="1"/>
  <w:characterSpacingControl w:val="compressPunctuation"/>
  <w:footnotePr>
    <w:footnote w:id="0"/>
    <w:footnote w:id="1"/>
  </w:foot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F4B3000"/>
    <w:rsid w:val="00771B68"/>
    <w:rsid w:val="02FB6D7F"/>
    <w:rsid w:val="05E95CE9"/>
    <w:rsid w:val="07AF45F8"/>
    <w:rsid w:val="10A51DDA"/>
    <w:rsid w:val="1F4B3000"/>
    <w:rsid w:val="1FD62287"/>
    <w:rsid w:val="1FFC753C"/>
    <w:rsid w:val="247A4BEB"/>
    <w:rsid w:val="2E5C3FC8"/>
    <w:rsid w:val="33793575"/>
    <w:rsid w:val="34117602"/>
    <w:rsid w:val="34C07164"/>
    <w:rsid w:val="37DC3A83"/>
    <w:rsid w:val="39333B77"/>
    <w:rsid w:val="42245F5D"/>
    <w:rsid w:val="45CE552A"/>
    <w:rsid w:val="4A5767AB"/>
    <w:rsid w:val="4DD033AE"/>
    <w:rsid w:val="50FB2D75"/>
    <w:rsid w:val="51D14780"/>
    <w:rsid w:val="525E5C4F"/>
    <w:rsid w:val="52D02C2A"/>
    <w:rsid w:val="55AA3239"/>
    <w:rsid w:val="58B64DDB"/>
    <w:rsid w:val="60601D56"/>
    <w:rsid w:val="6C2E6C8A"/>
    <w:rsid w:val="6CFE17CB"/>
    <w:rsid w:val="7141612A"/>
    <w:rsid w:val="75870193"/>
    <w:rsid w:val="77A61258"/>
    <w:rsid w:val="799314ED"/>
    <w:rsid w:val="7C1E1DB3"/>
    <w:rsid w:val="7EFE7D4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99"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unhideWhenUsed/>
    <w:qFormat/>
    <w:uiPriority w:val="0"/>
    <w:pPr>
      <w:widowControl w:val="0"/>
      <w:spacing w:beforeLines="0" w:afterLines="0"/>
      <w:jc w:val="both"/>
    </w:pPr>
    <w:rPr>
      <w:rFonts w:hint="eastAsia" w:ascii="等线" w:hAnsi="等线" w:eastAsia="等线" w:cs="Times New Roman"/>
      <w:kern w:val="2"/>
      <w:sz w:val="21"/>
      <w:szCs w:val="22"/>
      <w:lang w:val="en-US" w:eastAsia="zh-CN" w:bidi="ar-SA"/>
    </w:rPr>
  </w:style>
  <w:style w:type="paragraph" w:styleId="7">
    <w:name w:val="heading 2"/>
    <w:basedOn w:val="1"/>
    <w:next w:val="1"/>
    <w:unhideWhenUsed/>
    <w:qFormat/>
    <w:uiPriority w:val="0"/>
    <w:pPr>
      <w:autoSpaceDE w:val="0"/>
      <w:autoSpaceDN w:val="0"/>
      <w:spacing w:beforeLines="0" w:afterLines="0"/>
      <w:ind w:left="801" w:hanging="401"/>
      <w:jc w:val="left"/>
      <w:outlineLvl w:val="1"/>
    </w:pPr>
    <w:rPr>
      <w:rFonts w:hint="eastAsia" w:ascii="Microsoft JhengHei" w:hAnsi="Microsoft JhengHei" w:eastAsia="Microsoft JhengHei" w:cs="Microsoft JhengHei"/>
      <w:b/>
      <w:sz w:val="32"/>
      <w:szCs w:val="32"/>
      <w:lang w:val="zh-CN"/>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Body Text First Indent 2"/>
    <w:basedOn w:val="3"/>
    <w:next w:val="5"/>
    <w:qFormat/>
    <w:uiPriority w:val="0"/>
    <w:pPr>
      <w:ind w:left="0" w:leftChars="0" w:firstLine="420"/>
    </w:pPr>
    <w:rPr>
      <w:rFonts w:ascii="Times New Roman" w:hAnsi="Times New Roman"/>
      <w:szCs w:val="24"/>
    </w:rPr>
  </w:style>
  <w:style w:type="paragraph" w:styleId="3">
    <w:name w:val="Body Text Indent"/>
    <w:basedOn w:val="1"/>
    <w:next w:val="4"/>
    <w:unhideWhenUsed/>
    <w:qFormat/>
    <w:uiPriority w:val="0"/>
    <w:pPr>
      <w:spacing w:after="120"/>
      <w:ind w:left="420" w:leftChars="200"/>
    </w:pPr>
  </w:style>
  <w:style w:type="paragraph" w:styleId="4">
    <w:name w:val="envelope return"/>
    <w:basedOn w:val="1"/>
    <w:qFormat/>
    <w:uiPriority w:val="99"/>
    <w:pPr>
      <w:snapToGrid w:val="0"/>
    </w:pPr>
    <w:rPr>
      <w:rFonts w:ascii="Arial" w:hAnsi="Arial" w:cs="Arial"/>
      <w:szCs w:val="24"/>
    </w:rPr>
  </w:style>
  <w:style w:type="paragraph" w:customStyle="1" w:styleId="5">
    <w:name w:val="表格文字"/>
    <w:basedOn w:val="6"/>
    <w:next w:val="1"/>
    <w:qFormat/>
    <w:uiPriority w:val="0"/>
    <w:pPr>
      <w:ind w:firstLine="0" w:firstLineChars="0"/>
      <w:jc w:val="center"/>
    </w:pPr>
    <w:rPr>
      <w:szCs w:val="20"/>
    </w:rPr>
  </w:style>
  <w:style w:type="paragraph" w:styleId="6">
    <w:name w:val="List"/>
    <w:basedOn w:val="1"/>
    <w:qFormat/>
    <w:uiPriority w:val="0"/>
    <w:pPr>
      <w:ind w:left="200" w:hanging="200" w:hangingChars="200"/>
      <w:contextualSpacing/>
    </w:pPr>
  </w:style>
  <w:style w:type="paragraph" w:styleId="8">
    <w:name w:val="footer"/>
    <w:basedOn w:val="1"/>
    <w:unhideWhenUsed/>
    <w:qFormat/>
    <w:uiPriority w:val="99"/>
    <w:pPr>
      <w:tabs>
        <w:tab w:val="center" w:pos="4153"/>
        <w:tab w:val="right" w:pos="8306"/>
      </w:tabs>
      <w:snapToGrid w:val="0"/>
      <w:spacing w:beforeLines="0" w:afterLines="0"/>
      <w:jc w:val="left"/>
    </w:pPr>
    <w:rPr>
      <w:rFonts w:hint="eastAsia"/>
      <w:sz w:val="18"/>
      <w:szCs w:val="18"/>
    </w:rPr>
  </w:style>
  <w:style w:type="paragraph" w:customStyle="1" w:styleId="11">
    <w:name w:val="正文文本2"/>
    <w:basedOn w:val="1"/>
    <w:unhideWhenUsed/>
    <w:qFormat/>
    <w:uiPriority w:val="0"/>
    <w:pPr>
      <w:autoSpaceDE w:val="0"/>
      <w:autoSpaceDN w:val="0"/>
      <w:spacing w:beforeLines="0" w:afterLines="0"/>
      <w:jc w:val="left"/>
    </w:pPr>
    <w:rPr>
      <w:rFonts w:hint="eastAsia" w:ascii="宋体" w:hAnsi="宋体" w:eastAsia="宋体"/>
      <w:sz w:val="20"/>
      <w:szCs w:val="21"/>
      <w:lang w:val="zh-CN"/>
    </w:rPr>
  </w:style>
  <w:style w:type="paragraph" w:customStyle="1" w:styleId="12">
    <w:name w:val="Normal_1"/>
    <w:autoRedefine/>
    <w:qFormat/>
    <w:uiPriority w:val="0"/>
    <w:pPr>
      <w:widowControl w:val="0"/>
      <w:jc w:val="both"/>
    </w:pPr>
    <w:rPr>
      <w:rFonts w:ascii="Times New Roman" w:hAnsi="Times New Roman" w:eastAsia="宋体" w:cs="Times New Roman"/>
      <w:lang w:val="en-US" w:eastAsia="zh-CN" w:bidi="ar-SA"/>
    </w:rPr>
  </w:style>
  <w:style w:type="paragraph" w:styleId="13">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6053</Words>
  <Characters>6684</Characters>
  <Lines>0</Lines>
  <Paragraphs>0</Paragraphs>
  <TotalTime>0</TotalTime>
  <ScaleCrop>false</ScaleCrop>
  <LinksUpToDate>false</LinksUpToDate>
  <CharactersWithSpaces>6723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2026-06-12T06:39:00Z</dcterms:created>
  <dc:creator>北辰</dc:creator>
  <cp:lastModifiedBy>WPS_1555299874</cp:lastModifiedBy>
  <dcterms:modified xsi:type="dcterms:W3CDTF">2026-08-26T11:25:33Z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39B085A9EFEE4A77B5C86FD0F25F73CD_11</vt:lpwstr>
  </property>
  <property fmtid="{D5CDD505-2E9C-101B-9397-08002B2CF9AE}" pid="4" name="KSOTemplateDocerSaveRecord">
    <vt:lpwstr>eyJoZGlkIjoiNGY1Y2NlMmI1YTNhNTE1ODJiZGVlZDZiOTQ2M2NjNTYiLCJ1c2VySWQiOiI1MjY2MjIyMzMifQ==</vt:lpwstr>
  </property>
</Properties>
</file>