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bookmarkEnd w:id="0"/>
    </w:p>
    <w:tbl>
      <w:tblPr>
        <w:tblStyle w:val="9"/>
        <w:tblpPr w:leftFromText="180" w:rightFromText="180" w:vertAnchor="text" w:horzAnchor="page" w:tblpXSpec="center" w:tblpY="311"/>
        <w:tblOverlap w:val="never"/>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26"/>
        <w:gridCol w:w="1782"/>
        <w:gridCol w:w="4817"/>
        <w:gridCol w:w="610"/>
        <w:gridCol w:w="976"/>
        <w:gridCol w:w="1572"/>
        <w:gridCol w:w="1095"/>
        <w:gridCol w:w="1095"/>
        <w:gridCol w:w="1095"/>
      </w:tblGrid>
      <w:tr w14:paraId="3E5C9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1" w:hRule="atLeast"/>
          <w:tblHeader/>
          <w:jc w:val="center"/>
        </w:trPr>
        <w:tc>
          <w:tcPr>
            <w:tcW w:w="397" w:type="pct"/>
            <w:tcBorders>
              <w:bottom w:val="single" w:color="auto" w:sz="4" w:space="0"/>
              <w:tl2br w:val="nil"/>
              <w:tr2bl w:val="nil"/>
            </w:tcBorders>
            <w:shd w:val="clear" w:color="auto" w:fill="auto"/>
            <w:vAlign w:val="center"/>
          </w:tcPr>
          <w:p w14:paraId="51984AE4">
            <w:pPr>
              <w:widowControl/>
              <w:snapToGrid w:val="0"/>
              <w:ind w:firstLine="0" w:firstLineChars="0"/>
              <w:jc w:val="left"/>
              <w:textAlignment w:val="center"/>
              <w:rPr>
                <w:rFonts w:hint="eastAsia" w:ascii="宋体" w:hAnsi="宋体" w:eastAsia="宋体" w:cs="宋体"/>
                <w:sz w:val="24"/>
                <w:szCs w:val="24"/>
              </w:rPr>
            </w:pPr>
            <w:r>
              <w:rPr>
                <w:rFonts w:hint="eastAsia" w:ascii="宋体" w:hAnsi="宋体" w:eastAsia="宋体" w:cs="宋体"/>
                <w:kern w:val="0"/>
                <w:sz w:val="24"/>
                <w:szCs w:val="24"/>
                <w:lang w:bidi="ar"/>
              </w:rPr>
              <w:t>项目名称</w:t>
            </w:r>
          </w:p>
        </w:tc>
        <w:tc>
          <w:tcPr>
            <w:tcW w:w="628" w:type="pct"/>
            <w:tcBorders>
              <w:bottom w:val="single" w:color="auto" w:sz="4" w:space="0"/>
              <w:tl2br w:val="nil"/>
              <w:tr2bl w:val="nil"/>
            </w:tcBorders>
            <w:shd w:val="clear" w:color="auto" w:fill="auto"/>
            <w:vAlign w:val="center"/>
          </w:tcPr>
          <w:p w14:paraId="4615A218">
            <w:pPr>
              <w:widowControl/>
              <w:snapToGrid w:val="0"/>
              <w:ind w:firstLine="0" w:firstLineChars="0"/>
              <w:jc w:val="left"/>
              <w:textAlignment w:val="center"/>
              <w:rPr>
                <w:rFonts w:hint="eastAsia" w:ascii="宋体" w:hAnsi="宋体" w:eastAsia="宋体" w:cs="宋体"/>
                <w:sz w:val="24"/>
                <w:szCs w:val="24"/>
              </w:rPr>
            </w:pPr>
            <w:r>
              <w:rPr>
                <w:rFonts w:hint="eastAsia" w:ascii="宋体" w:hAnsi="宋体" w:eastAsia="宋体" w:cs="宋体"/>
                <w:kern w:val="0"/>
                <w:sz w:val="24"/>
                <w:szCs w:val="24"/>
                <w:lang w:bidi="ar"/>
              </w:rPr>
              <w:t>物资名称</w:t>
            </w:r>
          </w:p>
        </w:tc>
        <w:tc>
          <w:tcPr>
            <w:tcW w:w="1698" w:type="pct"/>
            <w:tcBorders>
              <w:tl2br w:val="nil"/>
              <w:tr2bl w:val="nil"/>
            </w:tcBorders>
            <w:shd w:val="clear" w:color="auto" w:fill="auto"/>
            <w:vAlign w:val="center"/>
          </w:tcPr>
          <w:p w14:paraId="27C523FF">
            <w:pPr>
              <w:topLinePunct/>
              <w:adjustRightInd w:val="0"/>
              <w:snapToGrid w:val="0"/>
              <w:spacing w:line="240" w:lineRule="atLeast"/>
              <w:ind w:firstLine="0" w:firstLineChars="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主要技术要求</w:t>
            </w:r>
          </w:p>
        </w:tc>
        <w:tc>
          <w:tcPr>
            <w:tcW w:w="215" w:type="pct"/>
            <w:tcBorders>
              <w:tl2br w:val="nil"/>
              <w:tr2bl w:val="nil"/>
            </w:tcBorders>
            <w:shd w:val="clear" w:color="auto" w:fill="auto"/>
            <w:vAlign w:val="center"/>
          </w:tcPr>
          <w:p w14:paraId="3339D139">
            <w:pPr>
              <w:widowControl/>
              <w:snapToGrid w:val="0"/>
              <w:ind w:firstLine="0" w:firstLineChars="0"/>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单位</w:t>
            </w:r>
          </w:p>
        </w:tc>
        <w:tc>
          <w:tcPr>
            <w:tcW w:w="344" w:type="pct"/>
            <w:tcBorders>
              <w:tl2br w:val="nil"/>
              <w:tr2bl w:val="nil"/>
            </w:tcBorders>
            <w:shd w:val="clear" w:color="auto" w:fill="auto"/>
            <w:vAlign w:val="center"/>
          </w:tcPr>
          <w:p w14:paraId="531A4DBF">
            <w:pPr>
              <w:widowControl/>
              <w:snapToGrid w:val="0"/>
              <w:ind w:firstLine="0" w:firstLineChars="0"/>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数量</w:t>
            </w:r>
          </w:p>
        </w:tc>
        <w:tc>
          <w:tcPr>
            <w:tcW w:w="554" w:type="pct"/>
            <w:tcBorders>
              <w:tl2br w:val="nil"/>
              <w:tr2bl w:val="nil"/>
            </w:tcBorders>
            <w:shd w:val="clear" w:color="auto" w:fill="FF0000"/>
            <w:vAlign w:val="center"/>
          </w:tcPr>
          <w:p w14:paraId="4F56484F">
            <w:pPr>
              <w:widowControl/>
              <w:snapToGrid w:val="0"/>
              <w:ind w:firstLine="0" w:firstLineChars="0"/>
              <w:jc w:val="left"/>
              <w:textAlignment w:val="center"/>
              <w:rPr>
                <w:rFonts w:hint="eastAsia" w:ascii="宋体" w:hAnsi="宋体" w:eastAsia="宋体" w:cs="宋体"/>
                <w:sz w:val="24"/>
                <w:szCs w:val="24"/>
              </w:rPr>
            </w:pPr>
            <w:r>
              <w:rPr>
                <w:rFonts w:hint="eastAsia" w:ascii="宋体" w:hAnsi="宋体" w:eastAsia="宋体" w:cs="宋体"/>
                <w:kern w:val="0"/>
                <w:sz w:val="24"/>
                <w:szCs w:val="24"/>
                <w:lang w:bidi="ar"/>
              </w:rPr>
              <w:t>交货日期</w:t>
            </w:r>
          </w:p>
        </w:tc>
        <w:tc>
          <w:tcPr>
            <w:tcW w:w="386" w:type="pct"/>
            <w:tcBorders>
              <w:tl2br w:val="nil"/>
              <w:tr2bl w:val="nil"/>
            </w:tcBorders>
            <w:shd w:val="clear" w:color="auto" w:fill="auto"/>
            <w:vAlign w:val="center"/>
          </w:tcPr>
          <w:p w14:paraId="38CA120D">
            <w:pPr>
              <w:widowControl/>
              <w:snapToGrid w:val="0"/>
              <w:ind w:firstLine="0" w:firstLineChars="0"/>
              <w:jc w:val="left"/>
              <w:textAlignment w:val="center"/>
              <w:rPr>
                <w:rFonts w:hint="eastAsia" w:ascii="宋体" w:hAnsi="宋体" w:eastAsia="宋体" w:cs="宋体"/>
                <w:sz w:val="24"/>
                <w:szCs w:val="24"/>
              </w:rPr>
            </w:pPr>
            <w:r>
              <w:rPr>
                <w:rFonts w:hint="eastAsia" w:ascii="宋体" w:hAnsi="宋体" w:eastAsia="宋体" w:cs="宋体"/>
                <w:kern w:val="0"/>
                <w:sz w:val="24"/>
                <w:szCs w:val="24"/>
                <w:lang w:bidi="ar"/>
              </w:rPr>
              <w:t>质保期（不低于）</w:t>
            </w:r>
          </w:p>
        </w:tc>
        <w:tc>
          <w:tcPr>
            <w:tcW w:w="386" w:type="pct"/>
            <w:tcBorders>
              <w:tl2br w:val="nil"/>
              <w:tr2bl w:val="nil"/>
            </w:tcBorders>
            <w:shd w:val="clear" w:color="auto" w:fill="auto"/>
            <w:vAlign w:val="center"/>
          </w:tcPr>
          <w:p w14:paraId="79F237C7">
            <w:pPr>
              <w:widowControl/>
              <w:snapToGrid w:val="0"/>
              <w:ind w:firstLine="0" w:firstLineChars="0"/>
              <w:jc w:val="left"/>
              <w:textAlignment w:val="center"/>
              <w:rPr>
                <w:rFonts w:hint="eastAsia" w:ascii="宋体" w:hAnsi="宋体" w:eastAsia="宋体" w:cs="宋体"/>
                <w:sz w:val="24"/>
                <w:szCs w:val="24"/>
              </w:rPr>
            </w:pPr>
            <w:r>
              <w:rPr>
                <w:rFonts w:hint="eastAsia" w:ascii="宋体" w:hAnsi="宋体" w:eastAsia="宋体" w:cs="宋体"/>
                <w:kern w:val="0"/>
                <w:sz w:val="24"/>
                <w:szCs w:val="24"/>
                <w:lang w:bidi="ar"/>
              </w:rPr>
              <w:t>交货地点</w:t>
            </w:r>
          </w:p>
        </w:tc>
        <w:tc>
          <w:tcPr>
            <w:tcW w:w="386" w:type="pct"/>
            <w:tcBorders>
              <w:tl2br w:val="nil"/>
              <w:tr2bl w:val="nil"/>
            </w:tcBorders>
            <w:shd w:val="clear" w:color="auto" w:fill="auto"/>
            <w:vAlign w:val="center"/>
          </w:tcPr>
          <w:p w14:paraId="76373134">
            <w:pPr>
              <w:widowControl/>
              <w:snapToGrid w:val="0"/>
              <w:ind w:firstLine="0" w:firstLineChars="0"/>
              <w:jc w:val="left"/>
              <w:textAlignment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专用业绩要求</w:t>
            </w:r>
          </w:p>
        </w:tc>
      </w:tr>
      <w:tr w14:paraId="759E2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397" w:type="pct"/>
            <w:vMerge w:val="restart"/>
            <w:tcBorders>
              <w:tl2br w:val="nil"/>
              <w:tr2bl w:val="nil"/>
            </w:tcBorders>
            <w:shd w:val="clear" w:color="auto" w:fill="auto"/>
            <w:vAlign w:val="center"/>
          </w:tcPr>
          <w:p w14:paraId="0D991435">
            <w:pPr>
              <w:topLinePunct/>
              <w:adjustRightInd w:val="0"/>
              <w:snapToGrid w:val="0"/>
              <w:spacing w:line="240" w:lineRule="atLeast"/>
              <w:ind w:firstLine="0" w:firstLineChars="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全地形运输装置等采购项目</w:t>
            </w:r>
          </w:p>
        </w:tc>
        <w:tc>
          <w:tcPr>
            <w:tcW w:w="628" w:type="pct"/>
            <w:vAlign w:val="center"/>
          </w:tcPr>
          <w:p w14:paraId="745BECAF">
            <w:pPr>
              <w:widowControl/>
              <w:snapToGrid w:val="0"/>
              <w:ind w:firstLine="0" w:firstLineChars="0"/>
              <w:jc w:val="center"/>
              <w:rPr>
                <w:rFonts w:hint="eastAsia" w:ascii="宋体" w:hAnsi="宋体" w:eastAsia="宋体" w:cs="宋体"/>
                <w:sz w:val="24"/>
                <w:szCs w:val="24"/>
              </w:rPr>
            </w:pPr>
            <w:r>
              <w:rPr>
                <w:rFonts w:hint="eastAsia" w:ascii="宋体" w:hAnsi="宋体" w:eastAsia="宋体" w:cs="宋体"/>
                <w:sz w:val="24"/>
                <w:szCs w:val="24"/>
              </w:rPr>
              <w:t>全地形运输装置</w:t>
            </w:r>
          </w:p>
        </w:tc>
        <w:tc>
          <w:tcPr>
            <w:tcW w:w="1698" w:type="pct"/>
            <w:vAlign w:val="center"/>
          </w:tcPr>
          <w:p w14:paraId="651AF1FC">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1、尺寸与载荷：</w:t>
            </w:r>
          </w:p>
          <w:p w14:paraId="2D17E611">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1）长×宽×高≤6100x2600x2700 mm；</w:t>
            </w:r>
          </w:p>
          <w:p w14:paraId="77207D24">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2）整备质量≤7000kg；</w:t>
            </w:r>
          </w:p>
          <w:p w14:paraId="50CB62E3">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3）额定载重 ≥2000kg；</w:t>
            </w:r>
          </w:p>
          <w:p w14:paraId="5DFC07C2">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4）载人数≥4；</w:t>
            </w:r>
          </w:p>
          <w:p w14:paraId="25574C4E">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5）轮胎宽度≥650mm，轮胎直径≥1100mm；</w:t>
            </w:r>
          </w:p>
          <w:p w14:paraId="5D1F669D">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2、动力系统：</w:t>
            </w:r>
          </w:p>
          <w:p w14:paraId="6B993139">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1）发动机功率≥115 kw；</w:t>
            </w:r>
          </w:p>
          <w:p w14:paraId="481718D4">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3、变速箱：自动挡变速箱；</w:t>
            </w:r>
          </w:p>
          <w:p w14:paraId="5B5E818D">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4、通过性与机动性</w:t>
            </w:r>
          </w:p>
          <w:p w14:paraId="1F60B95E">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1）公路最大速度≥55 km/h；</w:t>
            </w:r>
          </w:p>
          <w:p w14:paraId="12319198">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2）水中最大行驶速度≥5 km/h；</w:t>
            </w:r>
          </w:p>
          <w:p w14:paraId="525D9B5F">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3）最小离地间隙≥350 mm；</w:t>
            </w:r>
          </w:p>
          <w:p w14:paraId="39DB4FD0">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4）最大爬坡度≥30°；</w:t>
            </w:r>
          </w:p>
          <w:p w14:paraId="57C3B5C2">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5）最大侧倾坡≥20°；</w:t>
            </w:r>
          </w:p>
          <w:p w14:paraId="792FCBE6">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6）越壕宽≥1.2m；</w:t>
            </w:r>
          </w:p>
          <w:p w14:paraId="3183AEBF">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7）越障高≥0.6m；</w:t>
            </w:r>
          </w:p>
          <w:p w14:paraId="6AB6BBFB">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5、材料</w:t>
            </w:r>
          </w:p>
          <w:p w14:paraId="4989B75B">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1）驾驶室材料：铝合金；</w:t>
            </w:r>
          </w:p>
          <w:p w14:paraId="2A1B7CFB">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2）车体材料：高强度钢；</w:t>
            </w:r>
          </w:p>
          <w:p w14:paraId="6AE83DCC">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6、工作环境：-45℃—+50℃。</w:t>
            </w:r>
          </w:p>
          <w:p w14:paraId="74951388">
            <w:pPr>
              <w:widowControl/>
              <w:adjustRightInd w:val="0"/>
              <w:snapToGrid w:val="0"/>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7、其他要求：</w:t>
            </w:r>
          </w:p>
          <w:p w14:paraId="07DA9D8D">
            <w:pPr>
              <w:ind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车辆应配备独立减震座椅以提升平顺性，采用液晶仪表显示行车信息，安装盲区监控系统确保变道安全，全车内饰采用软包材料提升质感与安全性，设置夜间360°LED照明系统保障全向视野，并配置高强度防护保险杠。各功能须符合国家相关标准，性能可靠、集成良好。 </w:t>
            </w:r>
          </w:p>
        </w:tc>
        <w:tc>
          <w:tcPr>
            <w:tcW w:w="215" w:type="pct"/>
            <w:vAlign w:val="center"/>
          </w:tcPr>
          <w:p w14:paraId="76FB7ACC">
            <w:pPr>
              <w:widowControl/>
              <w:snapToGrid w:val="0"/>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套</w:t>
            </w:r>
          </w:p>
        </w:tc>
        <w:tc>
          <w:tcPr>
            <w:tcW w:w="344" w:type="pct"/>
            <w:vAlign w:val="center"/>
          </w:tcPr>
          <w:p w14:paraId="01A7E05C">
            <w:pPr>
              <w:widowControl/>
              <w:snapToGrid w:val="0"/>
              <w:ind w:firstLine="0" w:firstLineChars="0"/>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554" w:type="pct"/>
            <w:tcBorders>
              <w:tl2br w:val="nil"/>
              <w:tr2bl w:val="nil"/>
            </w:tcBorders>
            <w:shd w:val="clear" w:color="auto" w:fill="FF0000"/>
            <w:vAlign w:val="center"/>
          </w:tcPr>
          <w:p w14:paraId="21ED0868">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接到供货通知后15日内</w:t>
            </w:r>
          </w:p>
        </w:tc>
        <w:tc>
          <w:tcPr>
            <w:tcW w:w="386" w:type="pct"/>
            <w:tcBorders>
              <w:tl2br w:val="nil"/>
              <w:tr2bl w:val="nil"/>
            </w:tcBorders>
            <w:shd w:val="clear" w:color="auto" w:fill="auto"/>
            <w:vAlign w:val="center"/>
          </w:tcPr>
          <w:p w14:paraId="5C63A8D2">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3年</w:t>
            </w:r>
          </w:p>
        </w:tc>
        <w:tc>
          <w:tcPr>
            <w:tcW w:w="386" w:type="pct"/>
            <w:tcBorders>
              <w:tl2br w:val="nil"/>
              <w:tr2bl w:val="nil"/>
            </w:tcBorders>
            <w:shd w:val="clear" w:color="auto" w:fill="auto"/>
            <w:vAlign w:val="center"/>
          </w:tcPr>
          <w:p w14:paraId="6E286409">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买方指定地点</w:t>
            </w:r>
          </w:p>
        </w:tc>
        <w:tc>
          <w:tcPr>
            <w:tcW w:w="386" w:type="pct"/>
            <w:vMerge w:val="restart"/>
            <w:tcBorders>
              <w:tl2br w:val="nil"/>
              <w:tr2bl w:val="nil"/>
            </w:tcBorders>
            <w:shd w:val="clear" w:color="auto" w:fill="auto"/>
            <w:vAlign w:val="center"/>
          </w:tcPr>
          <w:p w14:paraId="0AA9CC41">
            <w:pPr>
              <w:widowControl/>
              <w:snapToGrid w:val="0"/>
              <w:ind w:firstLine="0" w:firstLineChars="0"/>
              <w:rPr>
                <w:rFonts w:hint="eastAsia" w:ascii="宋体" w:hAnsi="宋体" w:eastAsia="宋体" w:cs="宋体"/>
                <w:sz w:val="24"/>
                <w:szCs w:val="24"/>
                <w:lang w:eastAsia="zh-CN"/>
              </w:rPr>
            </w:pPr>
            <w:r>
              <w:rPr>
                <w:rFonts w:hint="eastAsia" w:ascii="宋体" w:hAnsi="宋体" w:eastAsia="宋体" w:cs="宋体"/>
                <w:b/>
                <w:bCs/>
                <w:color w:val="000000"/>
                <w:kern w:val="0"/>
                <w:sz w:val="24"/>
                <w:szCs w:val="24"/>
              </w:rPr>
              <w:t>业绩要求</w:t>
            </w:r>
            <w:r>
              <w:rPr>
                <w:rFonts w:hint="eastAsia" w:ascii="宋体" w:hAnsi="宋体" w:eastAsia="宋体" w:cs="宋体"/>
                <w:b/>
                <w:bCs/>
                <w:color w:val="000000"/>
                <w:kern w:val="0"/>
                <w:sz w:val="24"/>
                <w:szCs w:val="24"/>
                <w:lang w:eastAsia="zh-CN"/>
              </w:rPr>
              <w:t>：</w:t>
            </w:r>
            <w:r>
              <w:rPr>
                <w:rFonts w:hint="eastAsia" w:ascii="宋体" w:hAnsi="宋体" w:eastAsia="宋体" w:cs="宋体"/>
                <w:color w:val="000000" w:themeColor="text1"/>
                <w:kern w:val="0"/>
                <w:sz w:val="24"/>
                <w:szCs w:val="24"/>
                <w14:textFill>
                  <w14:solidFill>
                    <w14:schemeClr w14:val="tx1"/>
                  </w14:solidFill>
                </w14:textFill>
              </w:rPr>
              <w:t>2023年1月1日至2025年12月31日，具有</w:t>
            </w:r>
            <w:r>
              <w:rPr>
                <w:rFonts w:hint="eastAsia" w:ascii="宋体" w:hAnsi="宋体" w:eastAsia="宋体" w:cs="宋体"/>
                <w:color w:val="000000" w:themeColor="text1"/>
                <w:kern w:val="0"/>
                <w:sz w:val="24"/>
                <w:szCs w:val="24"/>
                <w:lang w:val="en-US" w:eastAsia="zh-CN"/>
                <w14:textFill>
                  <w14:solidFill>
                    <w14:schemeClr w14:val="tx1"/>
                  </w14:solidFill>
                </w14:textFill>
              </w:rPr>
              <w:t>运输或</w:t>
            </w:r>
            <w:r>
              <w:rPr>
                <w:rFonts w:hint="eastAsia" w:ascii="宋体" w:hAnsi="宋体" w:eastAsia="宋体" w:cs="宋体"/>
                <w:color w:val="000000" w:themeColor="text1"/>
                <w:kern w:val="0"/>
                <w:sz w:val="24"/>
                <w:szCs w:val="24"/>
                <w14:textFill>
                  <w14:solidFill>
                    <w14:schemeClr w14:val="tx1"/>
                  </w14:solidFill>
                </w14:textFill>
              </w:rPr>
              <w:t>应急装备销售业绩不少于80万元。注:业绩必须提供对应的合同复印件、发票和相应查验截图。</w:t>
            </w:r>
          </w:p>
        </w:tc>
      </w:tr>
      <w:tr w14:paraId="432F9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397" w:type="pct"/>
            <w:vMerge w:val="continue"/>
            <w:tcBorders>
              <w:tl2br w:val="nil"/>
              <w:tr2bl w:val="nil"/>
            </w:tcBorders>
            <w:shd w:val="clear" w:color="auto" w:fill="auto"/>
            <w:vAlign w:val="center"/>
          </w:tcPr>
          <w:p w14:paraId="428A9E5C">
            <w:pPr>
              <w:topLinePunct/>
              <w:adjustRightInd w:val="0"/>
              <w:snapToGrid w:val="0"/>
              <w:spacing w:line="240" w:lineRule="atLeast"/>
              <w:ind w:firstLine="0" w:firstLineChars="0"/>
              <w:jc w:val="center"/>
              <w:rPr>
                <w:rFonts w:hint="eastAsia" w:ascii="宋体" w:hAnsi="宋体" w:eastAsia="宋体" w:cs="宋体"/>
                <w:snapToGrid w:val="0"/>
                <w:kern w:val="0"/>
                <w:sz w:val="24"/>
                <w:szCs w:val="24"/>
              </w:rPr>
            </w:pPr>
          </w:p>
        </w:tc>
        <w:tc>
          <w:tcPr>
            <w:tcW w:w="628" w:type="pct"/>
            <w:vAlign w:val="center"/>
          </w:tcPr>
          <w:p w14:paraId="34BE0C34">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电动绞盘装置</w:t>
            </w:r>
          </w:p>
        </w:tc>
        <w:tc>
          <w:tcPr>
            <w:tcW w:w="1698" w:type="pct"/>
            <w:vAlign w:val="center"/>
          </w:tcPr>
          <w:p w14:paraId="10C400C8">
            <w:pPr>
              <w:widowControl/>
              <w:adjustRightInd w:val="0"/>
              <w:snapToGrid w:val="0"/>
              <w:ind w:firstLine="0" w:firstLineChars="0"/>
              <w:rPr>
                <w:rFonts w:hint="eastAsia" w:ascii="宋体" w:hAnsi="宋体" w:eastAsia="宋体" w:cs="宋体"/>
                <w:sz w:val="24"/>
                <w:szCs w:val="24"/>
              </w:rPr>
            </w:pPr>
            <w:r>
              <w:rPr>
                <w:rFonts w:hint="eastAsia" w:ascii="宋体" w:hAnsi="宋体" w:eastAsia="宋体" w:cs="宋体"/>
                <w:sz w:val="24"/>
                <w:szCs w:val="24"/>
              </w:rPr>
              <w:t>24V 电动绞盘，牵引力不低于5吨。</w:t>
            </w:r>
          </w:p>
        </w:tc>
        <w:tc>
          <w:tcPr>
            <w:tcW w:w="215" w:type="pct"/>
            <w:vAlign w:val="center"/>
          </w:tcPr>
          <w:p w14:paraId="4882FB5B">
            <w:pPr>
              <w:widowControl/>
              <w:snapToGrid w:val="0"/>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套</w:t>
            </w:r>
          </w:p>
        </w:tc>
        <w:tc>
          <w:tcPr>
            <w:tcW w:w="344" w:type="pct"/>
            <w:vAlign w:val="center"/>
          </w:tcPr>
          <w:p w14:paraId="12735476">
            <w:pPr>
              <w:widowControl/>
              <w:snapToGrid w:val="0"/>
              <w:ind w:firstLine="0" w:firstLineChars="0"/>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554" w:type="pct"/>
            <w:tcBorders>
              <w:tl2br w:val="nil"/>
              <w:tr2bl w:val="nil"/>
            </w:tcBorders>
            <w:shd w:val="clear" w:color="auto" w:fill="FF0000"/>
            <w:vAlign w:val="center"/>
          </w:tcPr>
          <w:p w14:paraId="69424D12">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接到供货通知后15日内</w:t>
            </w:r>
          </w:p>
        </w:tc>
        <w:tc>
          <w:tcPr>
            <w:tcW w:w="386" w:type="pct"/>
            <w:tcBorders>
              <w:tl2br w:val="nil"/>
              <w:tr2bl w:val="nil"/>
            </w:tcBorders>
            <w:shd w:val="clear" w:color="auto" w:fill="auto"/>
            <w:vAlign w:val="center"/>
          </w:tcPr>
          <w:p w14:paraId="6B3CF36B">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3年</w:t>
            </w:r>
          </w:p>
        </w:tc>
        <w:tc>
          <w:tcPr>
            <w:tcW w:w="386" w:type="pct"/>
            <w:tcBorders>
              <w:tl2br w:val="nil"/>
              <w:tr2bl w:val="nil"/>
            </w:tcBorders>
            <w:shd w:val="clear" w:color="auto" w:fill="auto"/>
            <w:vAlign w:val="center"/>
          </w:tcPr>
          <w:p w14:paraId="51C210C7">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买方指定地点</w:t>
            </w:r>
          </w:p>
        </w:tc>
        <w:tc>
          <w:tcPr>
            <w:tcW w:w="386" w:type="pct"/>
            <w:vMerge w:val="continue"/>
            <w:tcBorders>
              <w:tl2br w:val="nil"/>
              <w:tr2bl w:val="nil"/>
            </w:tcBorders>
            <w:shd w:val="clear" w:color="auto" w:fill="auto"/>
            <w:vAlign w:val="center"/>
          </w:tcPr>
          <w:p w14:paraId="0EA7E1C1">
            <w:pPr>
              <w:widowControl/>
              <w:snapToGrid w:val="0"/>
              <w:ind w:firstLine="0" w:firstLineChars="0"/>
              <w:rPr>
                <w:rFonts w:hint="eastAsia" w:ascii="宋体" w:hAnsi="宋体" w:eastAsia="宋体" w:cs="宋体"/>
                <w:sz w:val="24"/>
                <w:szCs w:val="24"/>
              </w:rPr>
            </w:pPr>
          </w:p>
        </w:tc>
      </w:tr>
      <w:tr w14:paraId="69932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 w:hRule="atLeast"/>
          <w:jc w:val="center"/>
        </w:trPr>
        <w:tc>
          <w:tcPr>
            <w:tcW w:w="397" w:type="pct"/>
            <w:vMerge w:val="continue"/>
            <w:tcBorders>
              <w:tl2br w:val="nil"/>
              <w:tr2bl w:val="nil"/>
            </w:tcBorders>
            <w:shd w:val="clear" w:color="auto" w:fill="auto"/>
            <w:vAlign w:val="center"/>
          </w:tcPr>
          <w:p w14:paraId="56E53D42">
            <w:pPr>
              <w:topLinePunct/>
              <w:adjustRightInd w:val="0"/>
              <w:snapToGrid w:val="0"/>
              <w:spacing w:line="240" w:lineRule="atLeast"/>
              <w:ind w:firstLine="0" w:firstLineChars="0"/>
              <w:jc w:val="center"/>
              <w:rPr>
                <w:rFonts w:hint="eastAsia" w:ascii="宋体" w:hAnsi="宋体" w:eastAsia="宋体" w:cs="宋体"/>
                <w:snapToGrid w:val="0"/>
                <w:kern w:val="0"/>
                <w:sz w:val="24"/>
                <w:szCs w:val="24"/>
              </w:rPr>
            </w:pPr>
          </w:p>
        </w:tc>
        <w:tc>
          <w:tcPr>
            <w:tcW w:w="628" w:type="pct"/>
            <w:vAlign w:val="center"/>
          </w:tcPr>
          <w:p w14:paraId="3D858FA3">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水上推进装置</w:t>
            </w:r>
          </w:p>
        </w:tc>
        <w:tc>
          <w:tcPr>
            <w:tcW w:w="1698" w:type="pct"/>
            <w:vAlign w:val="center"/>
          </w:tcPr>
          <w:p w14:paraId="4DE43214">
            <w:pPr>
              <w:widowControl/>
              <w:adjustRightInd w:val="0"/>
              <w:snapToGrid w:val="0"/>
              <w:ind w:firstLine="0" w:firstLineChars="0"/>
              <w:rPr>
                <w:rFonts w:hint="eastAsia" w:ascii="宋体" w:hAnsi="宋体" w:eastAsia="宋体" w:cs="宋体"/>
                <w:sz w:val="24"/>
                <w:szCs w:val="24"/>
              </w:rPr>
            </w:pPr>
            <w:r>
              <w:rPr>
                <w:rFonts w:hint="eastAsia" w:ascii="宋体" w:hAnsi="宋体" w:eastAsia="宋体" w:cs="宋体"/>
                <w:sz w:val="24"/>
                <w:szCs w:val="24"/>
              </w:rPr>
              <w:t>需与车辆底盘及整车结构充分适配，安装位置、接口尺寸、重量分布及重心位置应经过合理设计，不得干涉车辆原有的动力、传动、转向、制动及悬挂系统。</w:t>
            </w:r>
          </w:p>
        </w:tc>
        <w:tc>
          <w:tcPr>
            <w:tcW w:w="215" w:type="pct"/>
            <w:vAlign w:val="center"/>
          </w:tcPr>
          <w:p w14:paraId="1DDABE87">
            <w:pPr>
              <w:widowControl/>
              <w:snapToGrid w:val="0"/>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套</w:t>
            </w:r>
          </w:p>
        </w:tc>
        <w:tc>
          <w:tcPr>
            <w:tcW w:w="344" w:type="pct"/>
            <w:vAlign w:val="center"/>
          </w:tcPr>
          <w:p w14:paraId="5C7F787F">
            <w:pPr>
              <w:widowControl/>
              <w:snapToGrid w:val="0"/>
              <w:ind w:firstLine="0" w:firstLineChars="0"/>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w:t>
            </w:r>
          </w:p>
        </w:tc>
        <w:tc>
          <w:tcPr>
            <w:tcW w:w="554" w:type="pct"/>
            <w:tcBorders>
              <w:tl2br w:val="nil"/>
              <w:tr2bl w:val="nil"/>
            </w:tcBorders>
            <w:shd w:val="clear" w:color="auto" w:fill="FF0000"/>
            <w:vAlign w:val="center"/>
          </w:tcPr>
          <w:p w14:paraId="731C7A35">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接到供货通知后15日内</w:t>
            </w:r>
          </w:p>
        </w:tc>
        <w:tc>
          <w:tcPr>
            <w:tcW w:w="386" w:type="pct"/>
            <w:tcBorders>
              <w:tl2br w:val="nil"/>
              <w:tr2bl w:val="nil"/>
            </w:tcBorders>
            <w:shd w:val="clear" w:color="auto" w:fill="auto"/>
            <w:vAlign w:val="center"/>
          </w:tcPr>
          <w:p w14:paraId="13A463E4">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3年</w:t>
            </w:r>
          </w:p>
        </w:tc>
        <w:tc>
          <w:tcPr>
            <w:tcW w:w="386" w:type="pct"/>
            <w:tcBorders>
              <w:tl2br w:val="nil"/>
              <w:tr2bl w:val="nil"/>
            </w:tcBorders>
            <w:shd w:val="clear" w:color="auto" w:fill="auto"/>
            <w:vAlign w:val="center"/>
          </w:tcPr>
          <w:p w14:paraId="7EC2F768">
            <w:pPr>
              <w:widowControl/>
              <w:snapToGrid w:val="0"/>
              <w:ind w:firstLine="0" w:firstLineChars="0"/>
              <w:rPr>
                <w:rFonts w:hint="eastAsia" w:ascii="宋体" w:hAnsi="宋体" w:eastAsia="宋体" w:cs="宋体"/>
                <w:sz w:val="24"/>
                <w:szCs w:val="24"/>
              </w:rPr>
            </w:pPr>
            <w:r>
              <w:rPr>
                <w:rFonts w:hint="eastAsia" w:ascii="宋体" w:hAnsi="宋体" w:eastAsia="宋体" w:cs="宋体"/>
                <w:sz w:val="24"/>
                <w:szCs w:val="24"/>
              </w:rPr>
              <w:t>买方指定地点</w:t>
            </w:r>
          </w:p>
        </w:tc>
        <w:tc>
          <w:tcPr>
            <w:tcW w:w="386" w:type="pct"/>
            <w:vMerge w:val="continue"/>
            <w:tcBorders>
              <w:tl2br w:val="nil"/>
              <w:tr2bl w:val="nil"/>
            </w:tcBorders>
            <w:shd w:val="clear" w:color="auto" w:fill="auto"/>
            <w:vAlign w:val="center"/>
          </w:tcPr>
          <w:p w14:paraId="3A88B3E5">
            <w:pPr>
              <w:widowControl/>
              <w:snapToGrid w:val="0"/>
              <w:ind w:firstLine="0" w:firstLineChars="0"/>
              <w:rPr>
                <w:rFonts w:hint="eastAsia" w:ascii="宋体" w:hAnsi="宋体" w:eastAsia="宋体" w:cs="宋体"/>
                <w:sz w:val="24"/>
                <w:szCs w:val="24"/>
              </w:rPr>
            </w:pPr>
          </w:p>
        </w:tc>
      </w:tr>
    </w:tbl>
    <w:p w14:paraId="7485D1F5">
      <w:pPr>
        <w:keepNext w:val="0"/>
        <w:keepLines w:val="0"/>
        <w:pageBreakBefore w:val="0"/>
        <w:widowControl w:val="0"/>
        <w:shd w:val="clear"/>
        <w:kinsoku/>
        <w:wordWrap/>
        <w:overflowPunct/>
        <w:topLinePunct w:val="0"/>
        <w:bidi w:val="0"/>
        <w:adjustRightInd w:val="0"/>
        <w:snapToGrid w:val="0"/>
        <w:spacing w:after="0" w:line="400" w:lineRule="exact"/>
        <w:jc w:val="both"/>
        <w:textAlignment w:val="auto"/>
        <w:rPr>
          <w:rFonts w:hint="eastAsia" w:ascii="宋体" w:hAnsi="宋体" w:eastAsia="宋体" w:cs="宋体"/>
          <w:color w:val="auto"/>
          <w:kern w:val="2"/>
          <w:sz w:val="21"/>
          <w:szCs w:val="21"/>
          <w:highlight w:val="none"/>
          <w:lang w:eastAsia="zh-CN" w:bidi="ar-SA"/>
        </w:rPr>
      </w:pPr>
    </w:p>
    <w:p w14:paraId="26AEB340">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具体供货不局限于上述产品。应包括上述产品相关配件，类似升级产品，及整体设备的安装调试。</w:t>
      </w:r>
    </w:p>
    <w:p w14:paraId="41695FA7">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备注：</w:t>
      </w: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164BF8C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526338C7">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5E95CE9"/>
    <w:rsid w:val="07AF45F8"/>
    <w:rsid w:val="10A51DDA"/>
    <w:rsid w:val="19EE2A43"/>
    <w:rsid w:val="1F4B3000"/>
    <w:rsid w:val="1FD62287"/>
    <w:rsid w:val="1FFC753C"/>
    <w:rsid w:val="247A4BEB"/>
    <w:rsid w:val="2B3D4A2A"/>
    <w:rsid w:val="2E5C3FC8"/>
    <w:rsid w:val="33443203"/>
    <w:rsid w:val="34117602"/>
    <w:rsid w:val="34C07164"/>
    <w:rsid w:val="37DC3A83"/>
    <w:rsid w:val="39333B77"/>
    <w:rsid w:val="3CCA034E"/>
    <w:rsid w:val="42245F5D"/>
    <w:rsid w:val="45575091"/>
    <w:rsid w:val="45CE552A"/>
    <w:rsid w:val="4A5767AB"/>
    <w:rsid w:val="4DD033AE"/>
    <w:rsid w:val="50FB2D75"/>
    <w:rsid w:val="51D14780"/>
    <w:rsid w:val="525E5C4F"/>
    <w:rsid w:val="52D02C2A"/>
    <w:rsid w:val="55AA3239"/>
    <w:rsid w:val="55F019C8"/>
    <w:rsid w:val="58B64DDB"/>
    <w:rsid w:val="60601D56"/>
    <w:rsid w:val="696C085C"/>
    <w:rsid w:val="6CFE17CB"/>
    <w:rsid w:val="7141612A"/>
    <w:rsid w:val="77242776"/>
    <w:rsid w:val="77A61258"/>
    <w:rsid w:val="799314ED"/>
    <w:rsid w:val="7C1E1DB3"/>
    <w:rsid w:val="7EFE7D49"/>
    <w:rsid w:val="7F1B7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5865</Words>
  <Characters>6484</Characters>
  <Lines>0</Lines>
  <Paragraphs>0</Paragraphs>
  <TotalTime>0</TotalTime>
  <ScaleCrop>false</ScaleCrop>
  <LinksUpToDate>false</LinksUpToDate>
  <CharactersWithSpaces>6511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WPS_1555299874</cp:lastModifiedBy>
  <dcterms:modified xsi:type="dcterms:W3CDTF">2026-08-26T11:30:46Z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39B085A9EFEE4A77B5C86FD0F25F73CD_11</vt:lpwstr>
  </property>
  <property fmtid="{D5CDD505-2E9C-101B-9397-08002B2CF9AE}" pid="4" name="KSOTemplateDocerSaveRecord">
    <vt:lpwstr>eyJoZGlkIjoiNGY1Y2NlMmI1YTNhNTE1ODJiZGVlZDZiOTQ2M2NjNTYiLCJ1c2VySWQiOiI1MjY2MjIyMzMifQ==</vt:lpwstr>
  </property>
</Properties>
</file>