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1484"/>
        <w:gridCol w:w="4547"/>
        <w:gridCol w:w="1365"/>
        <w:gridCol w:w="1320"/>
        <w:gridCol w:w="765"/>
        <w:gridCol w:w="930"/>
        <w:gridCol w:w="765"/>
        <w:gridCol w:w="1681"/>
      </w:tblGrid>
      <w:tr w14:paraId="2BB8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blHeader/>
          <w:jc w:val="center"/>
        </w:trPr>
        <w:tc>
          <w:tcPr>
            <w:tcW w:w="461" w:type="pct"/>
            <w:vAlign w:val="center"/>
          </w:tcPr>
          <w:p w14:paraId="0E062266">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523" w:type="pct"/>
            <w:shd w:val="clear" w:color="auto" w:fill="auto"/>
            <w:vAlign w:val="center"/>
          </w:tcPr>
          <w:p w14:paraId="2AD89BDC">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物资名称</w:t>
            </w:r>
          </w:p>
        </w:tc>
        <w:tc>
          <w:tcPr>
            <w:tcW w:w="1605" w:type="pct"/>
            <w:shd w:val="clear" w:color="auto" w:fill="auto"/>
            <w:vAlign w:val="center"/>
          </w:tcPr>
          <w:p w14:paraId="4B42CD1A">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主要技术要求</w:t>
            </w:r>
          </w:p>
        </w:tc>
        <w:tc>
          <w:tcPr>
            <w:tcW w:w="481" w:type="pct"/>
            <w:shd w:val="clear" w:color="auto" w:fill="auto"/>
            <w:vAlign w:val="center"/>
          </w:tcPr>
          <w:p w14:paraId="78770F14">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466" w:type="pct"/>
            <w:shd w:val="clear" w:color="auto" w:fill="auto"/>
            <w:vAlign w:val="center"/>
          </w:tcPr>
          <w:p w14:paraId="0E7ADC97">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270" w:type="pct"/>
            <w:shd w:val="clear" w:color="auto" w:fill="FF0000"/>
            <w:vAlign w:val="center"/>
          </w:tcPr>
          <w:p w14:paraId="1B0B8498">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交货日期</w:t>
            </w:r>
          </w:p>
        </w:tc>
        <w:tc>
          <w:tcPr>
            <w:tcW w:w="328" w:type="pct"/>
            <w:vAlign w:val="center"/>
          </w:tcPr>
          <w:p w14:paraId="03EE1B89">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质保期（不低于）</w:t>
            </w:r>
          </w:p>
        </w:tc>
        <w:tc>
          <w:tcPr>
            <w:tcW w:w="270" w:type="pct"/>
            <w:shd w:val="clear" w:color="auto" w:fill="auto"/>
            <w:vAlign w:val="center"/>
          </w:tcPr>
          <w:p w14:paraId="542F82BB">
            <w:pPr>
              <w:widowControl/>
              <w:snapToGrid w:val="0"/>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交货地点</w:t>
            </w:r>
          </w:p>
        </w:tc>
        <w:tc>
          <w:tcPr>
            <w:tcW w:w="593" w:type="pct"/>
            <w:shd w:val="clear" w:color="auto" w:fill="auto"/>
            <w:vAlign w:val="center"/>
          </w:tcPr>
          <w:p w14:paraId="76783163">
            <w:pPr>
              <w:widowControl/>
              <w:snapToGrid w:val="0"/>
              <w:ind w:firstLine="0" w:firstLine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专用业绩要求</w:t>
            </w:r>
          </w:p>
        </w:tc>
      </w:tr>
      <w:tr w14:paraId="33EB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jc w:val="center"/>
        </w:trPr>
        <w:tc>
          <w:tcPr>
            <w:tcW w:w="461" w:type="pct"/>
            <w:vMerge w:val="restart"/>
            <w:vAlign w:val="center"/>
          </w:tcPr>
          <w:p w14:paraId="01E29ECE">
            <w:pPr>
              <w:ind w:left="0" w:leftChars="0" w:firstLine="0" w:firstLineChars="0"/>
              <w:jc w:val="center"/>
              <w:rPr>
                <w:rFonts w:hint="eastAsia" w:ascii="宋体" w:hAnsi="宋体" w:eastAsia="宋体" w:cs="宋体"/>
                <w:sz w:val="24"/>
                <w:szCs w:val="24"/>
              </w:rPr>
            </w:pPr>
            <w:r>
              <w:rPr>
                <w:rFonts w:hint="eastAsia" w:ascii="宋体" w:hAnsi="宋体" w:eastAsia="宋体" w:cs="宋体"/>
                <w:color w:val="auto"/>
                <w:sz w:val="24"/>
                <w:szCs w:val="24"/>
                <w:highlight w:val="none"/>
                <w:woUserID w:val="1"/>
              </w:rPr>
              <w:t>RFID读写器模块等采购项目</w:t>
            </w:r>
          </w:p>
        </w:tc>
        <w:tc>
          <w:tcPr>
            <w:tcW w:w="523" w:type="pct"/>
            <w:vAlign w:val="center"/>
          </w:tcPr>
          <w:p w14:paraId="33D789F3">
            <w:pPr>
              <w:keepNext w:val="0"/>
              <w:keepLines w:val="0"/>
              <w:widowControl/>
              <w:suppressLineNumbers w:val="0"/>
              <w:ind w:left="0" w:leftChars="0" w:firstLine="0" w:firstLineChars="0"/>
              <w:jc w:val="both"/>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RFID读写器模块</w:t>
            </w:r>
          </w:p>
        </w:tc>
        <w:tc>
          <w:tcPr>
            <w:tcW w:w="1605" w:type="pct"/>
            <w:vAlign w:val="center"/>
          </w:tcPr>
          <w:p w14:paraId="3311D241">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尺寸55.8×35.5×6mm，重量≤21g；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空口协议ISO18000-6C &amp; Gen 2X；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灵敏度-87dBm@10%BER；</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功率5~33dBm可调；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盘存峰值速度≥1000 tags/s；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识读距离≥5m(2.5dBi陶瓷天线)；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通信UART串口，波特率9600~921600bps；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电压DC 3.6~5.25V；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功耗6.75W(峰值)/0.75W(待机)；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工作温度-25~+65℃</w:t>
            </w:r>
          </w:p>
        </w:tc>
        <w:tc>
          <w:tcPr>
            <w:tcW w:w="481" w:type="pct"/>
            <w:vAlign w:val="center"/>
          </w:tcPr>
          <w:p w14:paraId="0E68A69D">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套</w:t>
            </w:r>
          </w:p>
        </w:tc>
        <w:tc>
          <w:tcPr>
            <w:tcW w:w="466" w:type="pct"/>
            <w:vAlign w:val="center"/>
          </w:tcPr>
          <w:p w14:paraId="13C76F3D">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1</w:t>
            </w:r>
          </w:p>
        </w:tc>
        <w:tc>
          <w:tcPr>
            <w:tcW w:w="270" w:type="pct"/>
            <w:shd w:val="clear" w:color="auto" w:fill="FF0000"/>
            <w:vAlign w:val="center"/>
          </w:tcPr>
          <w:p w14:paraId="4C84EC88">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接到供货通知后15日内</w:t>
            </w:r>
          </w:p>
        </w:tc>
        <w:tc>
          <w:tcPr>
            <w:tcW w:w="328" w:type="pct"/>
            <w:vAlign w:val="center"/>
          </w:tcPr>
          <w:p w14:paraId="304F0E6D">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3年</w:t>
            </w:r>
          </w:p>
        </w:tc>
        <w:tc>
          <w:tcPr>
            <w:tcW w:w="270" w:type="pct"/>
            <w:vAlign w:val="center"/>
          </w:tcPr>
          <w:p w14:paraId="05A9EFDF">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买方指定地点</w:t>
            </w:r>
          </w:p>
        </w:tc>
        <w:tc>
          <w:tcPr>
            <w:tcW w:w="593" w:type="pct"/>
            <w:vMerge w:val="restart"/>
            <w:vAlign w:val="center"/>
          </w:tcPr>
          <w:p w14:paraId="2E60C9AF">
            <w:pPr>
              <w:ind w:firstLine="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b/>
                <w:bCs/>
                <w:color w:val="000000"/>
                <w:kern w:val="0"/>
                <w:sz w:val="24"/>
                <w:szCs w:val="24"/>
              </w:rPr>
              <w:t>业绩要求</w:t>
            </w:r>
            <w:r>
              <w:rPr>
                <w:rFonts w:hint="eastAsia" w:ascii="宋体" w:hAnsi="宋体" w:eastAsia="宋体" w:cs="宋体"/>
                <w:b/>
                <w:bCs/>
                <w:color w:val="000000"/>
                <w:kern w:val="0"/>
                <w:sz w:val="24"/>
                <w:szCs w:val="24"/>
                <w:lang w:eastAsia="zh-CN"/>
              </w:rPr>
              <w:t>：</w:t>
            </w:r>
            <w:r>
              <w:rPr>
                <w:rFonts w:hint="eastAsia" w:ascii="宋体" w:hAnsi="宋体" w:eastAsia="宋体" w:cs="宋体"/>
                <w:color w:val="000000" w:themeColor="text1"/>
                <w:kern w:val="0"/>
                <w:sz w:val="24"/>
                <w:szCs w:val="24"/>
                <w14:textFill>
                  <w14:solidFill>
                    <w14:schemeClr w14:val="tx1"/>
                  </w14:solidFill>
                </w14:textFill>
              </w:rPr>
              <w:t>2023年1月1日至2025年12月31日，具有仓储设备销售业绩不少于</w:t>
            </w:r>
            <w:r>
              <w:rPr>
                <w:rFonts w:hint="eastAsia" w:ascii="宋体" w:hAnsi="宋体" w:eastAsia="宋体" w:cs="宋体"/>
                <w:color w:val="000000" w:themeColor="text1"/>
                <w:kern w:val="0"/>
                <w:sz w:val="24"/>
                <w:szCs w:val="24"/>
                <w:lang w:val="en-US" w:eastAsia="zh-CN"/>
                <w14:textFill>
                  <w14:solidFill>
                    <w14:schemeClr w14:val="tx1"/>
                  </w14:solidFill>
                </w14:textFill>
              </w:rPr>
              <w:t>20</w:t>
            </w:r>
            <w:r>
              <w:rPr>
                <w:rFonts w:hint="eastAsia" w:ascii="宋体" w:hAnsi="宋体" w:eastAsia="宋体" w:cs="宋体"/>
                <w:color w:val="000000" w:themeColor="text1"/>
                <w:kern w:val="0"/>
                <w:sz w:val="24"/>
                <w:szCs w:val="24"/>
                <w14:textFill>
                  <w14:solidFill>
                    <w14:schemeClr w14:val="tx1"/>
                  </w14:solidFill>
                </w14:textFill>
              </w:rPr>
              <w:t>万元。注:业绩必须提供对应的合同复印件、发票和相应查验截图。</w:t>
            </w:r>
          </w:p>
        </w:tc>
      </w:tr>
      <w:tr w14:paraId="202C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jc w:val="center"/>
        </w:trPr>
        <w:tc>
          <w:tcPr>
            <w:tcW w:w="461" w:type="pct"/>
            <w:vMerge w:val="continue"/>
            <w:vAlign w:val="center"/>
          </w:tcPr>
          <w:p w14:paraId="095A15E7">
            <w:pPr>
              <w:ind w:left="0" w:leftChars="0" w:firstLine="0" w:firstLineChars="0"/>
              <w:jc w:val="center"/>
              <w:rPr>
                <w:rFonts w:hint="eastAsia" w:ascii="宋体" w:hAnsi="宋体" w:eastAsia="宋体" w:cs="宋体"/>
                <w:color w:val="auto"/>
                <w:sz w:val="24"/>
                <w:szCs w:val="24"/>
                <w:highlight w:val="none"/>
                <w:woUserID w:val="1"/>
              </w:rPr>
            </w:pPr>
          </w:p>
        </w:tc>
        <w:tc>
          <w:tcPr>
            <w:tcW w:w="523" w:type="pct"/>
            <w:vAlign w:val="center"/>
          </w:tcPr>
          <w:p w14:paraId="5A61A983">
            <w:pPr>
              <w:keepNext w:val="0"/>
              <w:keepLines w:val="0"/>
              <w:widowControl/>
              <w:suppressLineNumbers w:val="0"/>
              <w:ind w:left="0" w:leftChars="0" w:firstLine="0" w:firstLineChars="0"/>
              <w:jc w:val="both"/>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飞行器基站模块</w:t>
            </w:r>
          </w:p>
        </w:tc>
        <w:tc>
          <w:tcPr>
            <w:tcW w:w="1605" w:type="pct"/>
            <w:vAlign w:val="center"/>
          </w:tcPr>
          <w:p w14:paraId="6434A46A">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重量≤34kg；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尺寸舱盖开启1228×583×412mm/闭合570×583×465mm；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输入电压100~240V(AC)，功率≤1000W；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工作温度-25~45℃，防护IP55；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可收纳无人机1台，最大降落风速8m/s，运行海拔≥4000m；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RTK基站支持GPS(L1/L2)/BeiDou2/BeiDou3/GLONASS(L1/L2)/Galileo(E1/E5B)；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RTK定位精度：水平1cm+1ppm(RMS)，垂直2cm+1ppm(RMS)</w:t>
            </w:r>
          </w:p>
        </w:tc>
        <w:tc>
          <w:tcPr>
            <w:tcW w:w="481" w:type="pct"/>
            <w:vAlign w:val="center"/>
          </w:tcPr>
          <w:p w14:paraId="6AFD49E3">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套</w:t>
            </w:r>
          </w:p>
        </w:tc>
        <w:tc>
          <w:tcPr>
            <w:tcW w:w="466" w:type="pct"/>
            <w:vAlign w:val="center"/>
          </w:tcPr>
          <w:p w14:paraId="6ECC1F84">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1</w:t>
            </w:r>
          </w:p>
        </w:tc>
        <w:tc>
          <w:tcPr>
            <w:tcW w:w="270" w:type="pct"/>
            <w:shd w:val="clear" w:color="auto" w:fill="FF0000"/>
            <w:vAlign w:val="center"/>
          </w:tcPr>
          <w:p w14:paraId="5B2BCCD0">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28" w:type="pct"/>
            <w:vAlign w:val="center"/>
          </w:tcPr>
          <w:p w14:paraId="06D2D897">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270" w:type="pct"/>
            <w:vAlign w:val="center"/>
          </w:tcPr>
          <w:p w14:paraId="051813D3">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593" w:type="pct"/>
            <w:vMerge w:val="continue"/>
            <w:vAlign w:val="center"/>
          </w:tcPr>
          <w:p w14:paraId="1755E646">
            <w:pPr>
              <w:ind w:firstLine="0" w:firstLineChars="0"/>
              <w:jc w:val="left"/>
              <w:rPr>
                <w:rFonts w:hint="eastAsia" w:ascii="宋体" w:hAnsi="宋体" w:eastAsia="宋体" w:cs="宋体"/>
                <w:color w:val="auto"/>
                <w:sz w:val="24"/>
                <w:szCs w:val="24"/>
                <w:highlight w:val="none"/>
              </w:rPr>
            </w:pPr>
          </w:p>
        </w:tc>
      </w:tr>
      <w:tr w14:paraId="2A3B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jc w:val="center"/>
        </w:trPr>
        <w:tc>
          <w:tcPr>
            <w:tcW w:w="461" w:type="pct"/>
            <w:vMerge w:val="continue"/>
            <w:vAlign w:val="center"/>
          </w:tcPr>
          <w:p w14:paraId="3D8EE434">
            <w:pPr>
              <w:ind w:left="0" w:leftChars="0" w:firstLine="0" w:firstLineChars="0"/>
              <w:jc w:val="center"/>
              <w:rPr>
                <w:rFonts w:hint="eastAsia" w:ascii="宋体" w:hAnsi="宋体" w:eastAsia="宋体" w:cs="宋体"/>
                <w:color w:val="auto"/>
                <w:sz w:val="24"/>
                <w:szCs w:val="24"/>
                <w:highlight w:val="none"/>
                <w:woUserID w:val="1"/>
              </w:rPr>
            </w:pPr>
          </w:p>
        </w:tc>
        <w:tc>
          <w:tcPr>
            <w:tcW w:w="523" w:type="pct"/>
            <w:vAlign w:val="center"/>
          </w:tcPr>
          <w:p w14:paraId="373F6F2B">
            <w:pPr>
              <w:keepNext w:val="0"/>
              <w:keepLines w:val="0"/>
              <w:widowControl/>
              <w:suppressLineNumbers w:val="0"/>
              <w:ind w:left="0" w:leftChars="0" w:firstLine="0" w:firstLineChars="0"/>
              <w:jc w:val="both"/>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飞行模块</w:t>
            </w:r>
          </w:p>
        </w:tc>
        <w:tc>
          <w:tcPr>
            <w:tcW w:w="1605" w:type="pct"/>
            <w:vAlign w:val="center"/>
          </w:tcPr>
          <w:p w14:paraId="53AA2CC4">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飞行器裸机重量≤1410g，最大起飞重量1610g；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飞行器尺寸335×398×153mm（不含桨叶）；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轴距：对角线463.2mm，左右359.9mm，前后291.4mm；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最大上升速度6m/s(普通)/8m/s(运动)，最大下降速度6m/s；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工作环境温度-20~45℃，防护等级IP54；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广角相机影像传感器：4/3 CMOS，有效像素2000万；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含无人机、遥控器、4G模块、各设备3年保险</w:t>
            </w:r>
          </w:p>
        </w:tc>
        <w:tc>
          <w:tcPr>
            <w:tcW w:w="481" w:type="pct"/>
            <w:vAlign w:val="center"/>
          </w:tcPr>
          <w:p w14:paraId="131AFB44">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套</w:t>
            </w:r>
          </w:p>
        </w:tc>
        <w:tc>
          <w:tcPr>
            <w:tcW w:w="466" w:type="pct"/>
            <w:vAlign w:val="center"/>
          </w:tcPr>
          <w:p w14:paraId="2222ABE5">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1</w:t>
            </w:r>
          </w:p>
        </w:tc>
        <w:tc>
          <w:tcPr>
            <w:tcW w:w="270" w:type="pct"/>
            <w:shd w:val="clear" w:color="auto" w:fill="FF0000"/>
            <w:vAlign w:val="center"/>
          </w:tcPr>
          <w:p w14:paraId="250D502F">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接到供货通知后15日内</w:t>
            </w:r>
          </w:p>
        </w:tc>
        <w:tc>
          <w:tcPr>
            <w:tcW w:w="328" w:type="pct"/>
            <w:vAlign w:val="center"/>
          </w:tcPr>
          <w:p w14:paraId="4A1445A1">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3年</w:t>
            </w:r>
          </w:p>
        </w:tc>
        <w:tc>
          <w:tcPr>
            <w:tcW w:w="270" w:type="pct"/>
            <w:vAlign w:val="center"/>
          </w:tcPr>
          <w:p w14:paraId="04E71D44">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买方指定地点</w:t>
            </w:r>
          </w:p>
        </w:tc>
        <w:tc>
          <w:tcPr>
            <w:tcW w:w="593" w:type="pct"/>
            <w:vMerge w:val="continue"/>
            <w:vAlign w:val="center"/>
          </w:tcPr>
          <w:p w14:paraId="18719579">
            <w:pPr>
              <w:ind w:firstLine="0" w:firstLineChars="0"/>
              <w:jc w:val="left"/>
              <w:rPr>
                <w:rFonts w:hint="eastAsia" w:ascii="宋体" w:hAnsi="宋体" w:eastAsia="宋体" w:cs="宋体"/>
                <w:color w:val="auto"/>
                <w:sz w:val="24"/>
                <w:szCs w:val="24"/>
                <w:highlight w:val="none"/>
              </w:rPr>
            </w:pPr>
          </w:p>
        </w:tc>
      </w:tr>
      <w:tr w14:paraId="06AC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vAlign w:val="center"/>
          </w:tcPr>
          <w:p w14:paraId="592ED8D4">
            <w:pPr>
              <w:ind w:left="0" w:leftChars="0" w:firstLine="0" w:firstLineChars="0"/>
              <w:jc w:val="center"/>
              <w:rPr>
                <w:rFonts w:hint="eastAsia" w:ascii="宋体" w:hAnsi="宋体" w:eastAsia="宋体" w:cs="宋体"/>
                <w:color w:val="auto"/>
                <w:sz w:val="24"/>
                <w:szCs w:val="24"/>
                <w:highlight w:val="none"/>
                <w:woUserID w:val="1"/>
              </w:rPr>
            </w:pPr>
          </w:p>
        </w:tc>
        <w:tc>
          <w:tcPr>
            <w:tcW w:w="523" w:type="pct"/>
            <w:vAlign w:val="center"/>
          </w:tcPr>
          <w:p w14:paraId="5CD25983">
            <w:pPr>
              <w:keepNext w:val="0"/>
              <w:keepLines w:val="0"/>
              <w:widowControl/>
              <w:suppressLineNumbers w:val="0"/>
              <w:ind w:left="0" w:leftChars="0" w:firstLine="0" w:firstLineChars="0"/>
              <w:jc w:val="both"/>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智能盘点模块</w:t>
            </w:r>
          </w:p>
        </w:tc>
        <w:tc>
          <w:tcPr>
            <w:tcW w:w="1605" w:type="pct"/>
            <w:vAlign w:val="center"/>
          </w:tcPr>
          <w:p w14:paraId="07B97340">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全场景三维孪生可视化(洛书3.0)，含机场/无人机/堆场/库位/电缆/环网柜模型；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AI识别率≥95%，支持多规格电缆区分与环境自适应；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航点视频抽帧识别、区域防重复、库存实时比对、库位红绿标注、堆垛机一对一与室外一对多适配；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盘点记录查询/视频回溯/全流程可追溯；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含视频管理、机场运维、飞行任务/航线/设备远程管控；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MQTT通信同步，堆垛机与无人机盘点通信隔离；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多系统嵌入融合展示(沙盒隔离)；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分屏自适应，各窗口独立盘点互不干扰；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一键盘点新旧隔离，含接口调试与数据验证</w:t>
            </w:r>
          </w:p>
        </w:tc>
        <w:tc>
          <w:tcPr>
            <w:tcW w:w="481" w:type="pct"/>
            <w:vAlign w:val="center"/>
          </w:tcPr>
          <w:p w14:paraId="60D98B11">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套</w:t>
            </w:r>
          </w:p>
        </w:tc>
        <w:tc>
          <w:tcPr>
            <w:tcW w:w="466" w:type="pct"/>
            <w:vAlign w:val="center"/>
          </w:tcPr>
          <w:p w14:paraId="68155A82">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1</w:t>
            </w:r>
          </w:p>
        </w:tc>
        <w:tc>
          <w:tcPr>
            <w:tcW w:w="270" w:type="pct"/>
            <w:shd w:val="clear" w:color="auto" w:fill="FF0000"/>
            <w:vAlign w:val="center"/>
          </w:tcPr>
          <w:p w14:paraId="03FC707A">
            <w:pPr>
              <w:ind w:firstLine="0" w:firstLineChars="0"/>
              <w:jc w:val="left"/>
              <w:rPr>
                <w:rFonts w:hint="eastAsia" w:ascii="宋体" w:hAnsi="宋体" w:eastAsia="宋体" w:cs="宋体"/>
                <w:color w:val="auto"/>
                <w:sz w:val="24"/>
                <w:szCs w:val="24"/>
                <w:highlight w:val="yellow"/>
                <w:woUserID w:val="1"/>
              </w:rPr>
            </w:pPr>
            <w:r>
              <w:rPr>
                <w:rFonts w:hint="eastAsia" w:ascii="宋体" w:hAnsi="宋体" w:eastAsia="宋体" w:cs="宋体"/>
                <w:color w:val="auto"/>
                <w:sz w:val="24"/>
                <w:szCs w:val="24"/>
                <w:highlight w:val="none"/>
              </w:rPr>
              <w:t>接到供货通知后15日内</w:t>
            </w:r>
          </w:p>
        </w:tc>
        <w:tc>
          <w:tcPr>
            <w:tcW w:w="328" w:type="pct"/>
            <w:vAlign w:val="center"/>
          </w:tcPr>
          <w:p w14:paraId="2E43061F">
            <w:pPr>
              <w:ind w:firstLine="0" w:firstLineChars="0"/>
              <w:jc w:val="left"/>
              <w:rPr>
                <w:rFonts w:hint="eastAsia" w:ascii="宋体" w:hAnsi="宋体" w:eastAsia="宋体" w:cs="宋体"/>
                <w:color w:val="auto"/>
                <w:sz w:val="24"/>
                <w:szCs w:val="24"/>
                <w:highlight w:val="yellow"/>
                <w:lang w:val="en-US" w:eastAsia="zh-CN"/>
                <w:woUserID w:val="1"/>
              </w:rPr>
            </w:pPr>
            <w:r>
              <w:rPr>
                <w:rFonts w:hint="eastAsia" w:ascii="宋体" w:hAnsi="宋体" w:eastAsia="宋体" w:cs="宋体"/>
                <w:color w:val="auto"/>
                <w:sz w:val="24"/>
                <w:szCs w:val="24"/>
                <w:highlight w:val="none"/>
              </w:rPr>
              <w:t>3年</w:t>
            </w:r>
          </w:p>
        </w:tc>
        <w:tc>
          <w:tcPr>
            <w:tcW w:w="270" w:type="pct"/>
            <w:vAlign w:val="center"/>
          </w:tcPr>
          <w:p w14:paraId="46C92BCD">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买方指定地点</w:t>
            </w:r>
          </w:p>
        </w:tc>
        <w:tc>
          <w:tcPr>
            <w:tcW w:w="593" w:type="pct"/>
            <w:vMerge w:val="continue"/>
            <w:vAlign w:val="center"/>
          </w:tcPr>
          <w:p w14:paraId="59DDAB75">
            <w:pPr>
              <w:ind w:firstLine="0" w:firstLineChars="0"/>
              <w:jc w:val="left"/>
              <w:rPr>
                <w:rFonts w:hint="eastAsia" w:ascii="宋体" w:hAnsi="宋体" w:eastAsia="宋体" w:cs="宋体"/>
                <w:color w:val="auto"/>
                <w:sz w:val="24"/>
                <w:szCs w:val="24"/>
                <w:highlight w:val="none"/>
              </w:rPr>
            </w:pPr>
          </w:p>
        </w:tc>
      </w:tr>
      <w:tr w14:paraId="1C73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tcPr>
          <w:p w14:paraId="7E0EFF13">
            <w:pPr>
              <w:ind w:left="0" w:leftChars="0" w:firstLine="0" w:firstLineChars="0"/>
              <w:rPr>
                <w:rFonts w:hint="eastAsia" w:ascii="宋体" w:hAnsi="宋体" w:eastAsia="宋体" w:cs="宋体"/>
                <w:sz w:val="24"/>
                <w:szCs w:val="24"/>
              </w:rPr>
            </w:pPr>
          </w:p>
        </w:tc>
        <w:tc>
          <w:tcPr>
            <w:tcW w:w="523" w:type="pct"/>
            <w:vAlign w:val="center"/>
          </w:tcPr>
          <w:p w14:paraId="6265EE4A">
            <w:pPr>
              <w:keepNext w:val="0"/>
              <w:keepLines w:val="0"/>
              <w:widowControl/>
              <w:suppressLineNumbers w:val="0"/>
              <w:ind w:left="0" w:leftChars="0" w:firstLine="0" w:firstLineChars="0"/>
              <w:jc w:val="both"/>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摄像机模块</w:t>
            </w:r>
          </w:p>
        </w:tc>
        <w:tc>
          <w:tcPr>
            <w:tcW w:w="1605" w:type="pct"/>
            <w:vAlign w:val="center"/>
          </w:tcPr>
          <w:p w14:paraId="0C61F9F2">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尺寸332×182×222mm，重量≤7.7kg；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传感器1/1.8" progressive scan CMOS；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最低照度彩色0.005Lux/黑白0.001Lux/0 Lux(IR)；</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焦距5.9~188.8mm，32倍光学变倍；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视场角水平59.0°~1.5°/垂直34.2°~0.9°/对角67°~1.8°(广角-望远)；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主码流50Hz 25fps/60Hz 24fps，支持4K(3840×2160)；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工作温度-40~70℃，湿度≤95%</w:t>
            </w:r>
          </w:p>
        </w:tc>
        <w:tc>
          <w:tcPr>
            <w:tcW w:w="481" w:type="pct"/>
            <w:vAlign w:val="center"/>
          </w:tcPr>
          <w:p w14:paraId="3AC48637">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套</w:t>
            </w:r>
          </w:p>
        </w:tc>
        <w:tc>
          <w:tcPr>
            <w:tcW w:w="466" w:type="pct"/>
            <w:vAlign w:val="center"/>
          </w:tcPr>
          <w:p w14:paraId="285F2192">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1</w:t>
            </w:r>
          </w:p>
        </w:tc>
        <w:tc>
          <w:tcPr>
            <w:tcW w:w="270" w:type="pct"/>
            <w:shd w:val="clear" w:color="auto" w:fill="FF0000"/>
            <w:vAlign w:val="center"/>
          </w:tcPr>
          <w:p w14:paraId="341D1371">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接到供货通知后15日内</w:t>
            </w:r>
          </w:p>
        </w:tc>
        <w:tc>
          <w:tcPr>
            <w:tcW w:w="328" w:type="pct"/>
            <w:vAlign w:val="center"/>
          </w:tcPr>
          <w:p w14:paraId="2E7395A4">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3年</w:t>
            </w:r>
          </w:p>
        </w:tc>
        <w:tc>
          <w:tcPr>
            <w:tcW w:w="270" w:type="pct"/>
            <w:vAlign w:val="center"/>
          </w:tcPr>
          <w:p w14:paraId="388F121C">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买方指定地点</w:t>
            </w:r>
          </w:p>
        </w:tc>
        <w:tc>
          <w:tcPr>
            <w:tcW w:w="593" w:type="pct"/>
            <w:vMerge w:val="continue"/>
            <w:vAlign w:val="center"/>
          </w:tcPr>
          <w:p w14:paraId="38FA41FA">
            <w:pPr>
              <w:ind w:firstLine="0" w:firstLineChars="0"/>
              <w:jc w:val="left"/>
              <w:rPr>
                <w:rFonts w:hint="eastAsia" w:ascii="宋体" w:hAnsi="宋体" w:eastAsia="宋体" w:cs="宋体"/>
                <w:color w:val="auto"/>
                <w:sz w:val="24"/>
                <w:szCs w:val="24"/>
                <w:highlight w:val="none"/>
              </w:rPr>
            </w:pPr>
          </w:p>
        </w:tc>
      </w:tr>
      <w:tr w14:paraId="3D19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tcPr>
          <w:p w14:paraId="060F87F4">
            <w:pPr>
              <w:ind w:left="0" w:leftChars="0" w:firstLine="0" w:firstLineChars="0"/>
              <w:rPr>
                <w:rFonts w:hint="eastAsia" w:ascii="宋体" w:hAnsi="宋体" w:eastAsia="宋体" w:cs="宋体"/>
                <w:sz w:val="24"/>
                <w:szCs w:val="24"/>
              </w:rPr>
            </w:pPr>
          </w:p>
        </w:tc>
        <w:tc>
          <w:tcPr>
            <w:tcW w:w="523" w:type="pct"/>
            <w:vAlign w:val="center"/>
          </w:tcPr>
          <w:p w14:paraId="1F752CEC">
            <w:pPr>
              <w:keepNext w:val="0"/>
              <w:keepLines w:val="0"/>
              <w:widowControl/>
              <w:suppressLineNumbers w:val="0"/>
              <w:ind w:left="0" w:leftChars="0" w:firstLine="0" w:firstLineChars="0"/>
              <w:jc w:val="both"/>
              <w:textAlignment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lang w:val="en-US" w:eastAsia="zh-CN"/>
                <w:woUserID w:val="1"/>
              </w:rPr>
              <w:t>数据终端模块</w:t>
            </w:r>
          </w:p>
        </w:tc>
        <w:tc>
          <w:tcPr>
            <w:tcW w:w="1605" w:type="pct"/>
            <w:vAlign w:val="center"/>
          </w:tcPr>
          <w:p w14:paraId="52BE9827">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highlight w:val="none"/>
                <w:woUserID w:val="1"/>
              </w:rPr>
            </w:pPr>
            <w:r>
              <w:rPr>
                <w:rFonts w:hint="eastAsia" w:ascii="宋体" w:hAnsi="宋体" w:eastAsia="宋体" w:cs="宋体"/>
                <w:i w:val="0"/>
                <w:iCs w:val="0"/>
                <w:color w:val="000000"/>
                <w:kern w:val="0"/>
                <w:sz w:val="24"/>
                <w:szCs w:val="24"/>
                <w:u w:val="none"/>
                <w:lang w:val="en-US" w:eastAsia="zh-CN" w:bidi="ar"/>
              </w:rPr>
              <w:t>AI算力≥21TOPS；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 6核64位；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GPU 384核Volta；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内存8GB LPDDR4x；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存储16GB eMMC；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4K编解码(HEVC)4编6解；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IO:千兆网×2/USB3.0×2/MIPI/CAN/HDMI/串口/GPIO；</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扩展:Mini-PCIE/M.2(WiFi/NVME/5G)/SIM/TF；</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供电12-24Vdc；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尺寸189×97×57.5mm；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重量≤1.2kg；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防护IP50；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温度-25~60℃满载/60~70℃降频；</w:t>
            </w:r>
          </w:p>
        </w:tc>
        <w:tc>
          <w:tcPr>
            <w:tcW w:w="481" w:type="pct"/>
            <w:vAlign w:val="center"/>
          </w:tcPr>
          <w:p w14:paraId="1514570B">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套</w:t>
            </w:r>
          </w:p>
        </w:tc>
        <w:tc>
          <w:tcPr>
            <w:tcW w:w="466" w:type="pct"/>
            <w:vAlign w:val="center"/>
          </w:tcPr>
          <w:p w14:paraId="456B5CB4">
            <w:pPr>
              <w:ind w:left="0" w:leftChars="0" w:firstLine="0" w:firstLineChars="0"/>
              <w:jc w:val="center"/>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1</w:t>
            </w:r>
          </w:p>
        </w:tc>
        <w:tc>
          <w:tcPr>
            <w:tcW w:w="270" w:type="pct"/>
            <w:shd w:val="clear" w:color="auto" w:fill="FF0000"/>
            <w:vAlign w:val="center"/>
          </w:tcPr>
          <w:p w14:paraId="2BA59231">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接到供货通知后15日内</w:t>
            </w:r>
          </w:p>
        </w:tc>
        <w:tc>
          <w:tcPr>
            <w:tcW w:w="328" w:type="pct"/>
            <w:vAlign w:val="center"/>
          </w:tcPr>
          <w:p w14:paraId="01F43FA4">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3年</w:t>
            </w:r>
          </w:p>
        </w:tc>
        <w:tc>
          <w:tcPr>
            <w:tcW w:w="270" w:type="pct"/>
            <w:vAlign w:val="center"/>
          </w:tcPr>
          <w:p w14:paraId="5BBEFA6B">
            <w:pPr>
              <w:ind w:firstLine="0" w:firstLineChars="0"/>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rPr>
              <w:t>买方指定地点</w:t>
            </w:r>
          </w:p>
        </w:tc>
        <w:tc>
          <w:tcPr>
            <w:tcW w:w="593" w:type="pct"/>
            <w:vMerge w:val="continue"/>
            <w:vAlign w:val="center"/>
          </w:tcPr>
          <w:p w14:paraId="70857755">
            <w:pPr>
              <w:ind w:firstLine="0" w:firstLineChars="0"/>
              <w:jc w:val="left"/>
              <w:rPr>
                <w:rFonts w:hint="eastAsia" w:ascii="宋体" w:hAnsi="宋体" w:eastAsia="宋体" w:cs="宋体"/>
                <w:color w:val="auto"/>
                <w:sz w:val="24"/>
                <w:szCs w:val="24"/>
                <w:highlight w:val="none"/>
              </w:rPr>
            </w:pPr>
          </w:p>
        </w:tc>
      </w:tr>
    </w:tbl>
    <w:p w14:paraId="1C606DDC">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6C7583DA">
      <w:pPr>
        <w:widowControl/>
        <w:ind w:firstLine="0" w:firstLineChars="0"/>
        <w:jc w:val="left"/>
        <w:textAlignment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70CE7E71">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471053E2">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4C278E58">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p w14:paraId="03F2FFC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477AA3"/>
    <w:rsid w:val="05E95CE9"/>
    <w:rsid w:val="07AF45F8"/>
    <w:rsid w:val="0E1B2ABB"/>
    <w:rsid w:val="0F623C23"/>
    <w:rsid w:val="10A51DDA"/>
    <w:rsid w:val="1F4B3000"/>
    <w:rsid w:val="1FD62287"/>
    <w:rsid w:val="1FFC753C"/>
    <w:rsid w:val="247A4BEB"/>
    <w:rsid w:val="2E5C3FC8"/>
    <w:rsid w:val="34117602"/>
    <w:rsid w:val="34C07164"/>
    <w:rsid w:val="37DC3A83"/>
    <w:rsid w:val="39333B77"/>
    <w:rsid w:val="418757EA"/>
    <w:rsid w:val="42245F5D"/>
    <w:rsid w:val="45CE552A"/>
    <w:rsid w:val="49697BAA"/>
    <w:rsid w:val="4A5767AB"/>
    <w:rsid w:val="4DD033AE"/>
    <w:rsid w:val="50FB2D75"/>
    <w:rsid w:val="51D14780"/>
    <w:rsid w:val="525E5C4F"/>
    <w:rsid w:val="52D02C2A"/>
    <w:rsid w:val="55AA3239"/>
    <w:rsid w:val="58B64DDB"/>
    <w:rsid w:val="60601D56"/>
    <w:rsid w:val="6CFE17CB"/>
    <w:rsid w:val="6E405851"/>
    <w:rsid w:val="7141612A"/>
    <w:rsid w:val="77A61258"/>
    <w:rsid w:val="799314ED"/>
    <w:rsid w:val="7A5E736F"/>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6208</Words>
  <Characters>7331</Characters>
  <Lines>0</Lines>
  <Paragraphs>0</Paragraphs>
  <TotalTime>0</TotalTime>
  <ScaleCrop>false</ScaleCrop>
  <LinksUpToDate>false</LinksUpToDate>
  <CharactersWithSpaces>7366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