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20293">
      <w:pPr>
        <w:keepNext w:val="0"/>
        <w:keepLines w:val="0"/>
        <w:pageBreakBefore w:val="0"/>
        <w:widowControl/>
        <w:shd w:val="clear"/>
        <w:kinsoku/>
        <w:wordWrap/>
        <w:overflowPunct/>
        <w:topLinePunct w:val="0"/>
        <w:bidi w:val="0"/>
        <w:adjustRightInd w:val="0"/>
        <w:snapToGrid w:val="0"/>
        <w:spacing w:before="0" w:beforeLines="-2147483648" w:after="0" w:afterLines="-2147483648" w:line="400" w:lineRule="exact"/>
        <w:jc w:val="left"/>
        <w:textAlignment w:val="auto"/>
        <w:outlineLvl w:val="1"/>
        <w:rPr>
          <w:rFonts w:hint="default" w:ascii="宋体" w:hAnsi="宋体" w:eastAsia="宋体" w:cs="宋体"/>
          <w:b/>
          <w:color w:val="auto"/>
          <w:kern w:val="2"/>
          <w:sz w:val="28"/>
          <w:szCs w:val="28"/>
          <w:highlight w:val="none"/>
          <w:lang w:val="en-US" w:bidi="en-US"/>
        </w:rPr>
      </w:pPr>
      <w:bookmarkStart w:id="0" w:name="_GoBack"/>
      <w:r>
        <w:rPr>
          <w:rFonts w:hint="eastAsia" w:ascii="宋体" w:hAnsi="宋体" w:eastAsia="宋体" w:cs="宋体"/>
          <w:b/>
          <w:color w:val="auto"/>
          <w:kern w:val="2"/>
          <w:sz w:val="28"/>
          <w:szCs w:val="28"/>
          <w:highlight w:val="none"/>
          <w:lang w:val="en-US" w:bidi="en-US"/>
        </w:rPr>
        <w:t>招标公告附件</w:t>
      </w:r>
      <w:bookmarkEnd w:id="0"/>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764"/>
        <w:gridCol w:w="5686"/>
        <w:gridCol w:w="1187"/>
        <w:gridCol w:w="777"/>
        <w:gridCol w:w="906"/>
        <w:gridCol w:w="1221"/>
        <w:gridCol w:w="1078"/>
        <w:gridCol w:w="1591"/>
      </w:tblGrid>
      <w:tr w14:paraId="7839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40" w:type="pct"/>
            <w:noWrap w:val="0"/>
            <w:vAlign w:val="center"/>
          </w:tcPr>
          <w:p w14:paraId="300BA146">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项目名称</w:t>
            </w:r>
          </w:p>
        </w:tc>
        <w:tc>
          <w:tcPr>
            <w:tcW w:w="269" w:type="pct"/>
            <w:noWrap w:val="0"/>
            <w:vAlign w:val="center"/>
          </w:tcPr>
          <w:p w14:paraId="116C2E9E">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物资名称</w:t>
            </w:r>
          </w:p>
        </w:tc>
        <w:tc>
          <w:tcPr>
            <w:tcW w:w="2005" w:type="pct"/>
            <w:noWrap w:val="0"/>
            <w:vAlign w:val="center"/>
          </w:tcPr>
          <w:p w14:paraId="3FFD858B">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主要技术要求</w:t>
            </w:r>
          </w:p>
        </w:tc>
        <w:tc>
          <w:tcPr>
            <w:tcW w:w="418" w:type="pct"/>
            <w:noWrap w:val="0"/>
            <w:vAlign w:val="center"/>
          </w:tcPr>
          <w:p w14:paraId="0BD240FB">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单位</w:t>
            </w:r>
          </w:p>
        </w:tc>
        <w:tc>
          <w:tcPr>
            <w:tcW w:w="274" w:type="pct"/>
            <w:noWrap w:val="0"/>
            <w:vAlign w:val="center"/>
          </w:tcPr>
          <w:p w14:paraId="14DA9BE2">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数量</w:t>
            </w:r>
          </w:p>
        </w:tc>
        <w:tc>
          <w:tcPr>
            <w:tcW w:w="319" w:type="pct"/>
            <w:shd w:val="clear" w:color="auto" w:fill="FF0000"/>
            <w:noWrap w:val="0"/>
            <w:vAlign w:val="center"/>
          </w:tcPr>
          <w:p w14:paraId="04293937">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交货日期</w:t>
            </w:r>
          </w:p>
        </w:tc>
        <w:tc>
          <w:tcPr>
            <w:tcW w:w="430" w:type="pct"/>
            <w:noWrap w:val="0"/>
            <w:vAlign w:val="center"/>
          </w:tcPr>
          <w:p w14:paraId="6CD05965">
            <w:pPr>
              <w:widowControl/>
              <w:jc w:val="center"/>
              <w:rPr>
                <w:rFonts w:hint="eastAsia" w:ascii="宋体" w:hAnsi="宋体" w:eastAsia="宋体" w:cs="宋体"/>
                <w:b/>
                <w:bCs/>
                <w:kern w:val="0"/>
                <w:sz w:val="24"/>
                <w:szCs w:val="24"/>
                <w:lang w:eastAsia="zh-CN"/>
              </w:rPr>
            </w:pPr>
            <w:r>
              <w:rPr>
                <w:rFonts w:hint="eastAsia" w:ascii="宋体" w:hAnsi="宋体" w:eastAsia="宋体" w:cs="宋体"/>
                <w:b/>
                <w:bCs/>
                <w:kern w:val="0"/>
                <w:sz w:val="24"/>
                <w:szCs w:val="24"/>
              </w:rPr>
              <w:t>质保期</w:t>
            </w:r>
            <w:r>
              <w:rPr>
                <w:rFonts w:hint="eastAsia" w:ascii="宋体" w:hAnsi="宋体" w:eastAsia="宋体" w:cs="宋体"/>
                <w:b/>
                <w:bCs/>
                <w:kern w:val="0"/>
                <w:sz w:val="24"/>
                <w:szCs w:val="24"/>
                <w:lang w:eastAsia="zh-CN"/>
              </w:rPr>
              <w:t>（</w:t>
            </w:r>
            <w:r>
              <w:rPr>
                <w:rFonts w:hint="eastAsia" w:ascii="宋体" w:hAnsi="宋体" w:eastAsia="宋体" w:cs="宋体"/>
                <w:b/>
                <w:bCs/>
                <w:kern w:val="0"/>
                <w:sz w:val="24"/>
                <w:szCs w:val="24"/>
                <w:lang w:val="en-US" w:eastAsia="zh-CN"/>
              </w:rPr>
              <w:t>不低于</w:t>
            </w:r>
            <w:r>
              <w:rPr>
                <w:rFonts w:hint="eastAsia" w:ascii="宋体" w:hAnsi="宋体" w:eastAsia="宋体" w:cs="宋体"/>
                <w:b/>
                <w:bCs/>
                <w:kern w:val="0"/>
                <w:sz w:val="24"/>
                <w:szCs w:val="24"/>
                <w:lang w:eastAsia="zh-CN"/>
              </w:rPr>
              <w:t>）</w:t>
            </w:r>
          </w:p>
        </w:tc>
        <w:tc>
          <w:tcPr>
            <w:tcW w:w="380" w:type="pct"/>
            <w:noWrap w:val="0"/>
            <w:vAlign w:val="center"/>
          </w:tcPr>
          <w:p w14:paraId="6A792A10">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交货地点</w:t>
            </w:r>
          </w:p>
        </w:tc>
        <w:tc>
          <w:tcPr>
            <w:tcW w:w="561" w:type="pct"/>
            <w:noWrap w:val="0"/>
            <w:vAlign w:val="center"/>
          </w:tcPr>
          <w:p w14:paraId="2926F8DC">
            <w:pPr>
              <w:widowControl/>
              <w:jc w:val="center"/>
              <w:rPr>
                <w:rFonts w:hint="default"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专用业绩要求</w:t>
            </w:r>
          </w:p>
        </w:tc>
      </w:tr>
      <w:tr w14:paraId="628C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1" w:hRule="atLeast"/>
          <w:jc w:val="center"/>
        </w:trPr>
        <w:tc>
          <w:tcPr>
            <w:tcW w:w="340" w:type="pct"/>
            <w:vMerge w:val="restart"/>
            <w:shd w:val="clear" w:color="auto" w:fill="auto"/>
            <w:noWrap w:val="0"/>
            <w:vAlign w:val="center"/>
          </w:tcPr>
          <w:p w14:paraId="3F7416D4">
            <w:pPr>
              <w:widowControl/>
              <w:jc w:val="center"/>
              <w:rPr>
                <w:rFonts w:hint="eastAsia" w:ascii="宋体" w:hAnsi="宋体" w:eastAsia="宋体" w:cs="宋体"/>
                <w:kern w:val="0"/>
                <w:sz w:val="24"/>
                <w:szCs w:val="24"/>
              </w:rPr>
            </w:pPr>
            <w:r>
              <w:rPr>
                <w:rFonts w:hint="eastAsia" w:ascii="宋体" w:hAnsi="宋体" w:eastAsia="宋体" w:cs="宋体"/>
                <w:b w:val="0"/>
                <w:bCs w:val="0"/>
                <w:color w:val="000000"/>
                <w:sz w:val="24"/>
                <w:szCs w:val="24"/>
                <w:lang w:val="en-US" w:eastAsia="zh-CN"/>
              </w:rPr>
              <w:t>微型采集模组、接入交互单元等采购项目</w:t>
            </w:r>
          </w:p>
        </w:tc>
        <w:tc>
          <w:tcPr>
            <w:tcW w:w="269" w:type="pct"/>
            <w:shd w:val="clear" w:color="auto" w:fill="auto"/>
            <w:noWrap w:val="0"/>
            <w:vAlign w:val="center"/>
          </w:tcPr>
          <w:p w14:paraId="77766C9E">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微型采集模组</w:t>
            </w:r>
          </w:p>
        </w:tc>
        <w:tc>
          <w:tcPr>
            <w:tcW w:w="2005" w:type="pct"/>
            <w:shd w:val="clear" w:color="auto" w:fill="auto"/>
            <w:noWrap w:val="0"/>
            <w:vAlign w:val="center"/>
          </w:tcPr>
          <w:p w14:paraId="7F238235">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输入电源：DC12V或DC24V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功耗：不大于6W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恢复出厂设置：支持恢复出厂设置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在线升级：支持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尺寸：长、宽不超过90mm×90mm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传感器有效像素：不低于400万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补光灯：柔光补光灯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视场角：水平视场角：75°，垂直视场角：60°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视频压缩标准：H.265/H.264/MJPEG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网络接口：RJ45网络接口，具备防水能力，自适应10 M/100 M/1000M网络数据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接入标准：支持国标GB28181、RTSP、ONVIF，支持对接第三方平台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热成像分辨率：≥256×192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热成像焦距：定焦，≤2.1mm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热成像近摄距离：0.1 m，支持点、线、框测温，点、线、区域测温规则，可设置不小于10个点，10个区域及1条线；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目标物最远测温距离：3m（以0.1×0.1米为准）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测温范围：-20 ℃-150 ℃或0 ℃-550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测温精度：±2 ℃或读数的±2%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显示模式：热成像视频图像具有白热等不小于15种显示模式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热成像视场角：不低于90°×64.2°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噪声等效温差：≤18mK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最小可分辨温差：≤520mK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可见光焦距：定焦，≤1.4mm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可见光最大图像分辨率：≥2560 × 1440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可见光补光：白光补光，最远不低于3.5m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高低温试验设备支持在-35±2℃或+75±2℃持续时间24小时，试验后样机能正常工作；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精确测温：-20 °C~60 °C，＜90% 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设备运行：-40 °C~70 °C，＜90% 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报警功能：具备温度异常报警功能，区域入侵，越界入侵，进入区域，离开区域；支持行为分析触发后目标跟踪、报警上传，发送邮件，联动录像，辅助输出等多种报警触发方式；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网络接口：1路RJ45接口10 M/100 M/1000 M自适应以太网口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网络协议:IPv4,IPv6,HTTP,HTTPS,802.1x,Qos,FTP,SMTP,UPnP,SNMP,DNS,DDNS,NTP,RTSP,RTCP,RTP,TCP,UDP,IGMP,ICMP,DHCP</w:t>
            </w:r>
          </w:p>
        </w:tc>
        <w:tc>
          <w:tcPr>
            <w:tcW w:w="418" w:type="pct"/>
            <w:shd w:val="clear" w:color="000000" w:fill="FFFFFF"/>
            <w:noWrap w:val="0"/>
            <w:vAlign w:val="center"/>
          </w:tcPr>
          <w:p w14:paraId="517E3A5B">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71E7D4EB">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84</w:t>
            </w:r>
          </w:p>
        </w:tc>
        <w:tc>
          <w:tcPr>
            <w:tcW w:w="319" w:type="pct"/>
            <w:shd w:val="clear" w:color="auto" w:fill="FF0000"/>
            <w:noWrap w:val="0"/>
            <w:vAlign w:val="center"/>
          </w:tcPr>
          <w:p w14:paraId="2093F7CF">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263F3AD2">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5AEFCEDB">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167C815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auto"/>
                <w:kern w:val="0"/>
                <w:sz w:val="24"/>
                <w:szCs w:val="24"/>
              </w:rPr>
              <w:t>业绩要求</w:t>
            </w:r>
            <w:r>
              <w:rPr>
                <w:rFonts w:hint="eastAsia" w:ascii="宋体" w:hAnsi="宋体" w:eastAsia="宋体" w:cs="宋体"/>
                <w:b/>
                <w:bCs/>
                <w:color w:val="auto"/>
                <w:kern w:val="0"/>
                <w:sz w:val="24"/>
                <w:szCs w:val="24"/>
                <w:lang w:eastAsia="zh-CN"/>
              </w:rPr>
              <w:t>：</w:t>
            </w:r>
            <w:r>
              <w:rPr>
                <w:rFonts w:hint="eastAsia" w:ascii="宋体" w:hAnsi="宋体" w:eastAsia="宋体" w:cs="宋体"/>
                <w:color w:val="auto"/>
                <w:kern w:val="0"/>
                <w:sz w:val="24"/>
                <w:szCs w:val="24"/>
                <w:highlight w:val="none"/>
              </w:rPr>
              <w:t>202</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年1月1日至</w:t>
            </w:r>
            <w:r>
              <w:rPr>
                <w:rFonts w:hint="eastAsia" w:ascii="宋体" w:hAnsi="宋体" w:eastAsia="宋体" w:cs="宋体"/>
                <w:color w:val="auto"/>
                <w:kern w:val="0"/>
                <w:sz w:val="24"/>
                <w:szCs w:val="24"/>
                <w:highlight w:val="none"/>
                <w:lang w:val="en-US" w:eastAsia="zh-CN"/>
              </w:rPr>
              <w:t>2025年12月31日</w:t>
            </w:r>
            <w:r>
              <w:rPr>
                <w:rFonts w:hint="eastAsia" w:ascii="宋体" w:hAnsi="宋体" w:eastAsia="宋体" w:cs="宋体"/>
                <w:color w:val="auto"/>
                <w:kern w:val="0"/>
                <w:sz w:val="24"/>
                <w:szCs w:val="24"/>
                <w:highlight w:val="none"/>
              </w:rPr>
              <w:t>止，完成过</w:t>
            </w:r>
            <w:r>
              <w:rPr>
                <w:rFonts w:hint="eastAsia" w:ascii="宋体" w:hAnsi="宋体" w:eastAsia="宋体" w:cs="宋体"/>
                <w:color w:val="auto"/>
                <w:kern w:val="0"/>
                <w:sz w:val="24"/>
                <w:szCs w:val="24"/>
                <w:highlight w:val="none"/>
                <w:lang w:val="en-US" w:eastAsia="zh-CN"/>
              </w:rPr>
              <w:t>辅控系统</w:t>
            </w:r>
            <w:r>
              <w:rPr>
                <w:rFonts w:hint="eastAsia" w:ascii="宋体" w:hAnsi="宋体" w:eastAsia="宋体" w:cs="宋体"/>
                <w:color w:val="auto"/>
                <w:kern w:val="0"/>
                <w:sz w:val="24"/>
                <w:szCs w:val="24"/>
                <w:highlight w:val="none"/>
              </w:rPr>
              <w:t>或</w:t>
            </w:r>
            <w:r>
              <w:rPr>
                <w:rFonts w:hint="eastAsia" w:ascii="宋体" w:hAnsi="宋体" w:eastAsia="宋体" w:cs="宋体"/>
                <w:color w:val="auto"/>
                <w:kern w:val="0"/>
                <w:sz w:val="24"/>
                <w:szCs w:val="24"/>
                <w:highlight w:val="none"/>
                <w:lang w:val="en-US" w:eastAsia="zh-CN"/>
              </w:rPr>
              <w:t>智巡系统</w:t>
            </w:r>
            <w:r>
              <w:rPr>
                <w:rFonts w:hint="eastAsia" w:ascii="宋体" w:hAnsi="宋体" w:eastAsia="宋体" w:cs="宋体"/>
                <w:color w:val="auto"/>
                <w:kern w:val="0"/>
                <w:sz w:val="24"/>
                <w:szCs w:val="24"/>
                <w:highlight w:val="none"/>
              </w:rPr>
              <w:t>或组部件（</w:t>
            </w:r>
            <w:r>
              <w:rPr>
                <w:rFonts w:hint="eastAsia" w:ascii="宋体" w:hAnsi="宋体" w:eastAsia="宋体" w:cs="宋体"/>
                <w:color w:val="auto"/>
                <w:kern w:val="0"/>
                <w:sz w:val="24"/>
                <w:szCs w:val="24"/>
                <w:highlight w:val="none"/>
                <w:lang w:val="en-US" w:eastAsia="zh-CN"/>
              </w:rPr>
              <w:t>摄像机或信息化设备</w:t>
            </w:r>
            <w:r>
              <w:rPr>
                <w:rFonts w:hint="eastAsia" w:ascii="宋体" w:hAnsi="宋体" w:eastAsia="宋体" w:cs="宋体"/>
                <w:color w:val="auto"/>
                <w:kern w:val="0"/>
                <w:sz w:val="24"/>
                <w:szCs w:val="24"/>
                <w:highlight w:val="none"/>
              </w:rPr>
              <w:t>）销售业绩累计金额不低于</w:t>
            </w:r>
            <w:r>
              <w:rPr>
                <w:rFonts w:hint="eastAsia" w:ascii="宋体" w:hAnsi="宋体" w:eastAsia="宋体" w:cs="宋体"/>
                <w:color w:val="auto"/>
                <w:kern w:val="0"/>
                <w:sz w:val="24"/>
                <w:szCs w:val="24"/>
                <w:highlight w:val="none"/>
                <w:lang w:val="en-US" w:eastAsia="zh-CN"/>
              </w:rPr>
              <w:t>400</w:t>
            </w:r>
            <w:r>
              <w:rPr>
                <w:rFonts w:hint="eastAsia" w:ascii="宋体" w:hAnsi="宋体" w:eastAsia="宋体" w:cs="宋体"/>
                <w:color w:val="auto"/>
                <w:kern w:val="0"/>
                <w:sz w:val="24"/>
                <w:szCs w:val="24"/>
                <w:highlight w:val="none"/>
              </w:rPr>
              <w:t>万元。注:业绩必须提供对应的合同复印件、发票和相应查验截图。</w:t>
            </w:r>
          </w:p>
        </w:tc>
      </w:tr>
      <w:tr w14:paraId="620D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340" w:type="pct"/>
            <w:vMerge w:val="continue"/>
            <w:shd w:val="clear" w:color="auto" w:fill="auto"/>
            <w:noWrap w:val="0"/>
            <w:vAlign w:val="center"/>
          </w:tcPr>
          <w:p w14:paraId="5378E69F">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441D312B">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监控专用硬盘</w:t>
            </w:r>
          </w:p>
        </w:tc>
        <w:tc>
          <w:tcPr>
            <w:tcW w:w="2005" w:type="pct"/>
            <w:shd w:val="clear" w:color="auto" w:fill="auto"/>
            <w:noWrap w:val="0"/>
            <w:vAlign w:val="center"/>
          </w:tcPr>
          <w:p w14:paraId="657C2A5C">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接口：SATA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容量 ：8T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转速：不低于7200RPM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缓存：256M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尺寸：3.5英寸</w:t>
            </w:r>
          </w:p>
        </w:tc>
        <w:tc>
          <w:tcPr>
            <w:tcW w:w="418" w:type="pct"/>
            <w:shd w:val="clear" w:color="000000" w:fill="FFFFFF"/>
            <w:noWrap w:val="0"/>
            <w:vAlign w:val="center"/>
          </w:tcPr>
          <w:p w14:paraId="7F43654B">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块</w:t>
            </w:r>
          </w:p>
        </w:tc>
        <w:tc>
          <w:tcPr>
            <w:tcW w:w="274" w:type="pct"/>
            <w:shd w:val="clear" w:color="000000" w:fill="FFFFFF"/>
            <w:noWrap w:val="0"/>
            <w:vAlign w:val="center"/>
          </w:tcPr>
          <w:p w14:paraId="7F00779D">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153</w:t>
            </w:r>
          </w:p>
        </w:tc>
        <w:tc>
          <w:tcPr>
            <w:tcW w:w="319" w:type="pct"/>
            <w:shd w:val="clear" w:color="auto" w:fill="FF0000"/>
            <w:noWrap w:val="0"/>
            <w:vAlign w:val="center"/>
          </w:tcPr>
          <w:p w14:paraId="023B19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062C8B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6EF2DA7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6E774F3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22C9F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1" w:hRule="atLeast"/>
          <w:jc w:val="center"/>
        </w:trPr>
        <w:tc>
          <w:tcPr>
            <w:tcW w:w="340" w:type="pct"/>
            <w:vMerge w:val="continue"/>
            <w:shd w:val="clear" w:color="auto" w:fill="auto"/>
            <w:noWrap w:val="0"/>
            <w:vAlign w:val="center"/>
          </w:tcPr>
          <w:p w14:paraId="38A060D4">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449E28A7">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筒形采集模组</w:t>
            </w:r>
          </w:p>
        </w:tc>
        <w:tc>
          <w:tcPr>
            <w:tcW w:w="2005" w:type="pct"/>
            <w:shd w:val="clear" w:color="auto" w:fill="auto"/>
            <w:noWrap w:val="0"/>
            <w:vAlign w:val="center"/>
          </w:tcPr>
          <w:p w14:paraId="733B5B45">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热成像传感器类型：氧化钒非制冷型探测器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热成像分辨率：≥256×192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热成像焦距：3mm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热成像视场角：不低于50°×37°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噪声等效温差：≤ 35 mk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最小可分辨温差：≤160mk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温度异常功能：全屏测温，不小于10个点，10个框，1条线总计21个测温规则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测温范围：一档：-20 °C~150 °C，二档：0 °C~650 °C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测温精度：±2 °C或者读数的±2%（取最大值）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最远测温距离：满足测温精度，≥4m（以0.1m*0.1m目标物为准）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防火最远报警距离：防火最远报警距离30m（以0.05㎡高温源或0.1㎡火焰为准）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可见光分辨率 ：≥2560*1440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最低照度：≤0.01Lux @(F1.6,AGC ON) ,0 Lux with IR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可见光焦：4mm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可见光视场角：≥84.0°×43°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可见光补光功能：≥30米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测温防火功能：不低于支持测温、火点检测、烟雾检测、吸烟检测4个算法功能同时开启，并可分别上传报警事件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高温试验：≥温度80℃，持续时间2h，样机处于工作状态，试验后样机应能正常工作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低温试验：≤温度-55℃，持续时间2h，样机处于工作状态，试验后样机应能正常工作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网络接口：1路RJ45接口10/100 M自适应以太网口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网络协议：IPv4/IPv6,HTTP,HTTPS,802.1x,Qos,FTP,SMTP,UPnP,SNMP,DNS,DDNS,NTP,RTSP,RTCP,RTP,TCP,UDP,IGMP,ICMP,DHCP,PPPoE,Bonjour,SFTP,SRTP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电源输入：12 VDC ± 25%，POE</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工作温度：-40°C~70°C，＜95% RH；测温环境温度：-20°C~50°C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目标报警过滤功能检验：可对触发高温报警的目标进行识别和过滤</w:t>
            </w:r>
          </w:p>
        </w:tc>
        <w:tc>
          <w:tcPr>
            <w:tcW w:w="418" w:type="pct"/>
            <w:shd w:val="clear" w:color="000000" w:fill="FFFFFF"/>
            <w:noWrap w:val="0"/>
            <w:vAlign w:val="center"/>
          </w:tcPr>
          <w:p w14:paraId="1C2A3270">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0DA850A0">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16</w:t>
            </w:r>
          </w:p>
        </w:tc>
        <w:tc>
          <w:tcPr>
            <w:tcW w:w="319" w:type="pct"/>
            <w:shd w:val="clear" w:color="auto" w:fill="FF0000"/>
            <w:noWrap w:val="0"/>
            <w:vAlign w:val="center"/>
          </w:tcPr>
          <w:p w14:paraId="61C2DC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shd w:val="clear" w:color="auto" w:fill="auto"/>
            <w:noWrap w:val="0"/>
            <w:vAlign w:val="center"/>
          </w:tcPr>
          <w:p w14:paraId="288426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shd w:val="clear" w:color="auto" w:fill="auto"/>
            <w:noWrap w:val="0"/>
            <w:vAlign w:val="center"/>
          </w:tcPr>
          <w:p w14:paraId="4F683D3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shd w:val="clear" w:color="auto" w:fill="auto"/>
            <w:noWrap w:val="0"/>
            <w:vAlign w:val="center"/>
          </w:tcPr>
          <w:p w14:paraId="38D91FA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21ED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340" w:type="pct"/>
            <w:vMerge w:val="continue"/>
            <w:shd w:val="clear" w:color="auto" w:fill="auto"/>
            <w:noWrap w:val="0"/>
            <w:vAlign w:val="center"/>
          </w:tcPr>
          <w:p w14:paraId="6DCEC715">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7B091FCA">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云台采集模组</w:t>
            </w:r>
          </w:p>
        </w:tc>
        <w:tc>
          <w:tcPr>
            <w:tcW w:w="2005" w:type="pct"/>
            <w:shd w:val="clear" w:color="auto" w:fill="auto"/>
            <w:noWrap w:val="0"/>
            <w:vAlign w:val="center"/>
          </w:tcPr>
          <w:p w14:paraId="7F6F70B7">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传感器：不低于1/2.8" CMOS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有效像素：不低于400万像素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最低照度：不低于 0.005Lux及以下(彩色),0.001Lux及以下(黑白)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水平回转角度：360°连续旋转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垂直俯仰角度：+90°～ -90°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光学变焦倍数：不低于23倍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压缩标准：H.265/H.264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信噪比：≥50dB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旋转速度：水平0.1°-200°/s  垂直0.1°-50°/s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工作温度：-40~60℃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网络接口：内置RJ45网口，支持10M/100M网络数据，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补光距离：白光 80m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白光补光控制：感光控制/操作联动控制/手动可开关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电源：DC12V或AC24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安装方式：含壁装/支架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等级：工业级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防护等级：不低于IP66 TVS 6000V防雷、防浪涌和防突波保护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守望位：支持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电磁兼容：满足EMC4使用要求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预置点定位偏差：≤0.2°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连续运动准确度：云台连续进行50万次PT运动后，云台定位准确度≤0.2°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纠偏精度：当云台处于静止状态下，由于受到外力使云台在水平或垂直方向发生偏移时，自动恢复至偏移前的位置，恢复后的位置与原位置的角度偏差≤0.1°</w:t>
            </w:r>
          </w:p>
        </w:tc>
        <w:tc>
          <w:tcPr>
            <w:tcW w:w="418" w:type="pct"/>
            <w:shd w:val="clear" w:color="000000" w:fill="FFFFFF"/>
            <w:noWrap w:val="0"/>
            <w:vAlign w:val="center"/>
          </w:tcPr>
          <w:p w14:paraId="66FFD4AF">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482BA8AC">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86</w:t>
            </w:r>
          </w:p>
        </w:tc>
        <w:tc>
          <w:tcPr>
            <w:tcW w:w="319" w:type="pct"/>
            <w:shd w:val="clear" w:color="auto" w:fill="FF0000"/>
            <w:noWrap w:val="0"/>
            <w:vAlign w:val="center"/>
          </w:tcPr>
          <w:p w14:paraId="0E5F13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7918CE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7335D26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2FE277D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68F3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340" w:type="pct"/>
            <w:vMerge w:val="continue"/>
            <w:shd w:val="clear" w:color="auto" w:fill="auto"/>
            <w:noWrap w:val="0"/>
            <w:vAlign w:val="center"/>
          </w:tcPr>
          <w:p w14:paraId="0846230A">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53115D30">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接入交互单元（Ⅰ型）</w:t>
            </w:r>
          </w:p>
        </w:tc>
        <w:tc>
          <w:tcPr>
            <w:tcW w:w="2005" w:type="pct"/>
            <w:shd w:val="clear" w:color="auto" w:fill="auto"/>
            <w:noWrap w:val="0"/>
            <w:vAlign w:val="center"/>
          </w:tcPr>
          <w:p w14:paraId="6B7075AC">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应用层级：二/三层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传输速率：10/100/1000Mbps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端口结构：非模块化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端口数量：不少于24个10/100/1000Base-T以太网端口、4个千兆光口，满配单模光模块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传输模式：全双工/半双工自适应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配置形式：可堆叠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交换容量：不低于200Gbps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包转发率：不低于42Mpps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VLAN支持：支持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QOS支持：支持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网管支持：支持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网管功能：支持命令行接口（CLI），SSH，Console口配置；支持SNMP；支持WEB网管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MAC地址表：8K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电源：额定电压范围：100V~240V AC，50/60Hz，最大电压范围：90V~264V AC，47Hz~63Hz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环境标准：工作温度：-40℃~85℃、工作湿度：5%~95%（非凝露）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电磁兼容性：EMC4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其他：接入各站端摄像头</w:t>
            </w:r>
          </w:p>
        </w:tc>
        <w:tc>
          <w:tcPr>
            <w:tcW w:w="418" w:type="pct"/>
            <w:shd w:val="clear" w:color="000000" w:fill="FFFFFF"/>
            <w:noWrap w:val="0"/>
            <w:vAlign w:val="center"/>
          </w:tcPr>
          <w:p w14:paraId="44083281">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06993600">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21</w:t>
            </w:r>
          </w:p>
        </w:tc>
        <w:tc>
          <w:tcPr>
            <w:tcW w:w="319" w:type="pct"/>
            <w:shd w:val="clear" w:color="auto" w:fill="FF0000"/>
            <w:noWrap w:val="0"/>
            <w:vAlign w:val="center"/>
          </w:tcPr>
          <w:p w14:paraId="73E2C5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5675F6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3275F37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27B2EC4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2F6C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340" w:type="pct"/>
            <w:vMerge w:val="continue"/>
            <w:shd w:val="clear" w:color="auto" w:fill="auto"/>
            <w:noWrap w:val="0"/>
            <w:vAlign w:val="center"/>
          </w:tcPr>
          <w:p w14:paraId="7859D695">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3F541FCC">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接入交互单元（Ⅱ型）</w:t>
            </w:r>
          </w:p>
        </w:tc>
        <w:tc>
          <w:tcPr>
            <w:tcW w:w="2005" w:type="pct"/>
            <w:shd w:val="clear" w:color="auto" w:fill="auto"/>
            <w:noWrap w:val="0"/>
            <w:vAlign w:val="center"/>
          </w:tcPr>
          <w:p w14:paraId="5419FC48">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系统架构及外型尺寸：核心CPU满足国产化要求；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19英寸机箱。</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可靠性：电源：双路交流220V，允许波动范围：-20%~+15%；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支持BFD功能。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处理能力：交换容量≥670Gbps</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整机包转发能力≥170Mpps</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内存≥2GB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帧丢失率：0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MAC地址缓存≥8K</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优先级队列≥8；</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应支持IEEE 802.1p优先级；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应支持DiffServ(RFC 2474）；</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应支持支持802.1p到DiffServ的映射。</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网络协议支持 TCP/IP协议族（IP\TCP\UDP \ARP）；</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应支持静态路由、RIPv2、OSPF等常用路由协议；</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提供具体的IGP路由表容量；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应支持MCE功能。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安全特性支持：用户分级管理、端口隔离、MAC地址黑洞、防止DOS攻击功能、支持MAC地址与端口、IP的绑定、SSH、支持802.1X、DHCP Snooping、支持对VLAN的访问控制，支持SSHv2</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网管方式 应支持SNMPv3、兼容SNMP v1、SNMP v2、RMON II、Syslog、MIB；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应支持Console、Telnet和SSH等方式管理；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应能够被第三方网管管理；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提供基于端口、数据链路层信息以及IP五元组等条件，对包数、字节数等信息进行统计的功能的能力说明；</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提供流量统计分析功能。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接口类型支持：10/100M/1000M接口： 24个</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4个非复用SFP+光接口。（或根据实际情况补充）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环境要求：工作温度：5℃～+50℃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相对湿度：10％RH～90％RH 无凝结</w:t>
            </w:r>
          </w:p>
        </w:tc>
        <w:tc>
          <w:tcPr>
            <w:tcW w:w="418" w:type="pct"/>
            <w:shd w:val="clear" w:color="000000" w:fill="FFFFFF"/>
            <w:noWrap w:val="0"/>
            <w:vAlign w:val="center"/>
          </w:tcPr>
          <w:p w14:paraId="5EBE6B60">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1070FE45">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319" w:type="pct"/>
            <w:shd w:val="clear" w:color="auto" w:fill="FF0000"/>
            <w:noWrap w:val="0"/>
            <w:vAlign w:val="center"/>
          </w:tcPr>
          <w:p w14:paraId="5B5555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4E4CF1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28E1EA1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468B20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0EDE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340" w:type="pct"/>
            <w:vMerge w:val="continue"/>
            <w:shd w:val="clear" w:color="auto" w:fill="auto"/>
            <w:noWrap w:val="0"/>
            <w:vAlign w:val="center"/>
          </w:tcPr>
          <w:p w14:paraId="106D7232">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445074E2">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通用交互单元</w:t>
            </w:r>
          </w:p>
        </w:tc>
        <w:tc>
          <w:tcPr>
            <w:tcW w:w="2005" w:type="pct"/>
            <w:shd w:val="clear" w:color="auto" w:fill="auto"/>
            <w:noWrap w:val="0"/>
            <w:vAlign w:val="center"/>
          </w:tcPr>
          <w:p w14:paraId="47C415B4">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交换容量：不低于600Gbps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包转发率：不低于200Mpps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固定端口：不少于24个千兆光口、4个10/100/1000BASE-T以太网端口；含满配单模光模块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二层功能：支持4K个VLAN、支持基于端口/MAC/协议的VLAN、支持VLAN Mapping功能、支持16K MAC地址、支持4K ARP表项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三层功能：支持RIP/RIPng/OSPF/OSPFv3、支持4K IPv4 FIB表项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管理维护：支持SNMPv1/v2/v3、支持RMON，SSH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工作电压：AC90V～AC264V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 -5℃～50℃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安装：机架式安装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其他：下联站端各工业交换机，上联硬盘录像机</w:t>
            </w:r>
          </w:p>
        </w:tc>
        <w:tc>
          <w:tcPr>
            <w:tcW w:w="418" w:type="pct"/>
            <w:shd w:val="clear" w:color="000000" w:fill="FFFFFF"/>
            <w:noWrap w:val="0"/>
            <w:vAlign w:val="center"/>
          </w:tcPr>
          <w:p w14:paraId="72490906">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49FDA3E7">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319" w:type="pct"/>
            <w:shd w:val="clear" w:color="auto" w:fill="FF0000"/>
            <w:noWrap w:val="0"/>
            <w:vAlign w:val="center"/>
          </w:tcPr>
          <w:p w14:paraId="5CECF6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412B51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719AFA7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C18275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7BD03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340" w:type="pct"/>
            <w:vMerge w:val="continue"/>
            <w:shd w:val="clear" w:color="auto" w:fill="auto"/>
            <w:noWrap w:val="0"/>
            <w:vAlign w:val="center"/>
          </w:tcPr>
          <w:p w14:paraId="2B6A4FD7">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506D5404">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接入层路由单元</w:t>
            </w:r>
          </w:p>
        </w:tc>
        <w:tc>
          <w:tcPr>
            <w:tcW w:w="2005" w:type="pct"/>
            <w:shd w:val="clear" w:color="auto" w:fill="auto"/>
            <w:noWrap w:val="0"/>
            <w:vAlign w:val="center"/>
          </w:tcPr>
          <w:p w14:paraId="30BDA23D">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系统架构及外型尺寸：19英寸机箱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核心CPU满足国产化要求，业务槽数（母卡）≥8（机箱物理槽位），整机主控槽位数≥2，独立交换网板槽位≥2，要求主控与交换网板物理分离。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可靠性 电源* 四路交流220V，允许波动范围：-20%~+15%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端口和协议备份：所有端口支持相互备份、支持VRRP协议、支持NSR、GR、BFD功能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处理能力：整机包转发能力* ≥170000Mpps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交换容量≥380Tbps（全双工状态）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主控板内存≥16GB，可扩充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网络协议支持：应支持OSPF、BGP v4、BGP4 Extension、RIP v2、IS-IS等常用协议；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应支持IP、ATM、Frame Relay、PPP等协议。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路由协议支持：提供支持的各种路由协议（RIPv2、OSPF、BGP、ISIS等）的路由转发表容量的标称值。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组播协议支持：应支持PIM-SM/DM、IGMP、MBGP、MSDP、MPLS VPN组播。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安全特性支持：端口安全：PPPoE Client&amp;Server、Portal、802.1x。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防火墙：ACL、FILTER。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支持RADIUS、CHAP验证、PAP验证、LOGIN验证、包过滤、访问控制列表、NAT、IPSec、IKE、URPF、SSHv2、Portal，提供具体NAT Session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提供ACL最大配置数，提供每个的规则数和在线速条件下最大的规则数。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其它安全技术：L2TP、NAT/NAPT、PKI、RSA、SSH、SSL、URPF、GRE、防攻击。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网管方式：应支持SNMPv3，兼容SNMP v1和SNMPv2、RMON II、Syslog日志功能、命令行分级保护、MIB、在线升级；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应支持被第三方网管管理；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应支持Console、Telnet和SSH等方式管理；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应支持基于端口、数据链路层信息以及IP五元组等条件，对包数、字节数等信息进行统计的功能；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应支持流量统计分析功能。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接口类型支持：支持100G、50G、40G、10GE光口、1GE光口、155M POS口、155M cPOS子卡、E1/T1等接口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业务板配置 采用子母卡配置方式；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端口配置至少应包含：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配置千兆光口数量≥40，千兆电口数量≥24，10GE光口数量≥8；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针对各类型端口，至少配置2块相同业务板卡且安装在机箱不同的物理槽位上；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引擎、母卡、机箱等自带的各类型端口不计入端口配置总数；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板卡配置应满足冗余性要求，无单点故障；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母卡交换容量应满足所配接口卡的带宽要求。（或根据实际情况补充其他接口配置）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IPv6 支持IPv4和IPv6双协议栈；支持IPv4向IPv6的基本过渡技术，支持IPv6静态路由，支持BGP4+、RIPng、OSPFv3、IS-ISv6等动态路由协议；支持ICMPv6、UDPv6、TCPv6、IPv6等。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MPLS 应支持LDP，MP-BGP，MPLS QoS；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应支持三层VPN，BGP MPLS VPN；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应支持二层VPN；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应能够实现分布式MPLS VPN处理，每块线卡必须能够本地化处理MPLS VPN业务；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支持MPLS VPN跨域互联OptionA、B、C三种方式；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提供支持的VRF 数量、私网路由数量（总量和单个VRF）的标称值。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环境要求：工作温度：-10℃～+45℃；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相对湿度：5％～85％无凝结。</w:t>
            </w:r>
          </w:p>
        </w:tc>
        <w:tc>
          <w:tcPr>
            <w:tcW w:w="418" w:type="pct"/>
            <w:shd w:val="clear" w:color="000000" w:fill="FFFFFF"/>
            <w:noWrap w:val="0"/>
            <w:vAlign w:val="center"/>
          </w:tcPr>
          <w:p w14:paraId="3FE7DACC">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0035ACED">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319" w:type="pct"/>
            <w:shd w:val="clear" w:color="auto" w:fill="FF0000"/>
            <w:noWrap w:val="0"/>
            <w:vAlign w:val="center"/>
          </w:tcPr>
          <w:p w14:paraId="2C7A7F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7D1C5A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6B026B2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0F620DC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0EA75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340" w:type="pct"/>
            <w:vMerge w:val="continue"/>
            <w:shd w:val="clear" w:color="auto" w:fill="auto"/>
            <w:noWrap w:val="0"/>
            <w:vAlign w:val="center"/>
          </w:tcPr>
          <w:p w14:paraId="71F9DF24">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7F96F6F1">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双光云台采集模组</w:t>
            </w:r>
          </w:p>
        </w:tc>
        <w:tc>
          <w:tcPr>
            <w:tcW w:w="2005" w:type="pct"/>
            <w:shd w:val="clear" w:color="auto" w:fill="auto"/>
            <w:noWrap w:val="0"/>
            <w:vAlign w:val="center"/>
          </w:tcPr>
          <w:p w14:paraId="22B667F1">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热成像传感器类型：氧化钒非制冷型探测器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热成像最大分辨率：不小于640 × 480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热成像响应波段：8~14μm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工作温度：-40～60℃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热成像目标物最远测温距：不低于25m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热成像视场角：不低于 88°(H)*73°(V)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热成像镜头焦距：超广角/广角/标准镜头（根据实际安装位置合理选择）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可见光传感器：不低于1/2.8"高性能CMOS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可见光分辨率：不低于 2560×1440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光学变焦：不小于23倍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可见光低照度：0.005Lux及以下(彩色),0.001Lux及以下(黑白)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LED补光有效距离：不低于150m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水平范围：360°连续旋转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水平速度：最大水平转动速度≥85°/s，最小水平转动速度≤0.02°/s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垂直范围：+40°~-90°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垂直速度：最大垂直转动速度≥85°/s，最小垂直转动速度≤0.02°/s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预置点个数：不低于300个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预置点位定位偏差：≤0.2°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目标物最近测温距离：≤1米（以 0.1×0.1 米为准）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巡航扫描：不低于8条，每条可添加256个预置点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网络协议：IPv4/IPv6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视频压缩标准：H.264 / MPEG4 / MJPEG， H.264编码支持 BaseLine / Main / High ,Smart264/H.265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安装方式：含壁装/吊装/支架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等级：工业级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防护等级：不低于IP66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守望位：支持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电磁兼容：满足EMC4使用要求</w:t>
            </w:r>
          </w:p>
        </w:tc>
        <w:tc>
          <w:tcPr>
            <w:tcW w:w="418" w:type="pct"/>
            <w:shd w:val="clear" w:color="000000" w:fill="FFFFFF"/>
            <w:noWrap w:val="0"/>
            <w:vAlign w:val="center"/>
          </w:tcPr>
          <w:p w14:paraId="067B8BB6">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465C2562">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115</w:t>
            </w:r>
          </w:p>
        </w:tc>
        <w:tc>
          <w:tcPr>
            <w:tcW w:w="319" w:type="pct"/>
            <w:shd w:val="clear" w:color="auto" w:fill="FF0000"/>
            <w:noWrap w:val="0"/>
            <w:vAlign w:val="center"/>
          </w:tcPr>
          <w:p w14:paraId="669D9D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68F895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6041363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68757F3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2131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340" w:type="pct"/>
            <w:vMerge w:val="continue"/>
            <w:shd w:val="clear" w:color="auto" w:fill="auto"/>
            <w:noWrap w:val="0"/>
            <w:vAlign w:val="center"/>
          </w:tcPr>
          <w:p w14:paraId="560D724F">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5F25094A">
            <w:pPr>
              <w:keepNext w:val="0"/>
              <w:keepLines w:val="0"/>
              <w:widowControl/>
              <w:suppressLineNumbers w:val="0"/>
              <w:jc w:val="both"/>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64路硬盘录像机</w:t>
            </w:r>
          </w:p>
        </w:tc>
        <w:tc>
          <w:tcPr>
            <w:tcW w:w="2005" w:type="pct"/>
            <w:shd w:val="clear" w:color="auto" w:fill="auto"/>
            <w:noWrap w:val="0"/>
            <w:vAlign w:val="center"/>
          </w:tcPr>
          <w:p w14:paraId="660ACC7F">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视音频输入：网络视频输入64路，网络视频接入带宽不低于300M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音频输出：HDMI输出1路，分辨率：1024x768/60Hz，1280x720/60Hz，1280x1024/60Hz，1600×1200/60Hz，1920x1080p/50Hz，1920x1080p/60Hz；VGA输出1路，分辨率：1024x768/60Hz，1280x720/60Hz，1280x1024/60Hz，1600×1200/60Hz，1920x1080p/60Hz；音频输出2路，RCA接口（线性电平，阻抗：1K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视音频编解码参数：录像分辨率5MP/3MP/1080p/UXGA/720p/VGA/4CIF/DCIF/2CIF/CIF/QCIF；同步回放16路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硬盘驱动器：类型16个SATA接口；最大容量每个接口支持容量不小于8TB的硬盘作为录像盘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录像管理：录像/抓图模式手动录像/抓图、定时录像/抓图、移动侦测录像/抓图、报警录像/抓图、动测或报警录像/抓图、动测和报警录像/抓图；回放模式即时回放、常规回放、事件回放、标签回放、外部文件回放、图片回放；备份模式常规备份、事件备份、图片备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网络管理：网络协议UPnP（即插即用）、 SNMP（简单网络管理）、NTP（网络校时）、SADP（设备网络搜索）、SMTP（邮件服务）、 NFS（接入NAS）、iSCSI（IP SAN应用）、PPPoE（拨号上网）、DHCP（自动获取IP地址）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外部接口：语音对讲输入1个，RCA接口（电平：2.0Vp-p，阻抗：1kΩ）；网络接口2个，RJ45 10M/100M/1000M自适应以太网口串行接口1个，标准RS-485串行接口（预留）；1个，标准RS-232串行接口；1个，键盘485串口USB接口3个，USB 2.0报警输入16路报警输出4路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其他：电源AC100V-240V，47--63 Hz;功耗(不含硬盘)≤45W工作温度-10℃--＋55℃工作湿度10％--90％机箱19英寸标准2U机箱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预览分割：最低32路：1/4/6/8/9/16/25/32画面，预览分割画面至少1080p</w:t>
            </w:r>
          </w:p>
        </w:tc>
        <w:tc>
          <w:tcPr>
            <w:tcW w:w="418" w:type="pct"/>
            <w:shd w:val="clear" w:color="000000" w:fill="FFFFFF"/>
            <w:noWrap w:val="0"/>
            <w:vAlign w:val="center"/>
          </w:tcPr>
          <w:p w14:paraId="47395774">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只</w:t>
            </w:r>
          </w:p>
        </w:tc>
        <w:tc>
          <w:tcPr>
            <w:tcW w:w="274" w:type="pct"/>
            <w:shd w:val="clear" w:color="000000" w:fill="FFFFFF"/>
            <w:noWrap w:val="0"/>
            <w:vAlign w:val="center"/>
          </w:tcPr>
          <w:p w14:paraId="58849723">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319" w:type="pct"/>
            <w:shd w:val="clear" w:color="auto" w:fill="FF0000"/>
            <w:noWrap w:val="0"/>
            <w:vAlign w:val="center"/>
          </w:tcPr>
          <w:p w14:paraId="6246A6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60F3CF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756331B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302857F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00C6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340" w:type="pct"/>
            <w:vMerge w:val="continue"/>
            <w:shd w:val="clear" w:color="auto" w:fill="auto"/>
            <w:noWrap w:val="0"/>
            <w:vAlign w:val="center"/>
          </w:tcPr>
          <w:p w14:paraId="510C0DD1">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54AEABC4">
            <w:pPr>
              <w:keepNext w:val="0"/>
              <w:keepLines w:val="0"/>
              <w:widowControl/>
              <w:suppressLineNumbers w:val="0"/>
              <w:jc w:val="both"/>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网络防雷器</w:t>
            </w:r>
          </w:p>
        </w:tc>
        <w:tc>
          <w:tcPr>
            <w:tcW w:w="2005" w:type="pct"/>
            <w:shd w:val="clear" w:color="auto" w:fill="auto"/>
            <w:noWrap w:val="0"/>
            <w:vAlign w:val="center"/>
          </w:tcPr>
          <w:p w14:paraId="15978DF4">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 xml:space="preserve">电源部分最大持续运行电压：275 V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电源部分电压保护水平Up：40V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视频部分最大持续运行电压：6V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视频部分：额定放电冲击电流isn（1.2/50 8/20μs）对称/非对称（PE） A 125A/5kA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信号部分最大持续运行电压：15 V （DC）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信号部分冲击电流isn（1.2/50 8/20μs）对称/非对称（PE）：125A/5kA</w:t>
            </w:r>
          </w:p>
        </w:tc>
        <w:tc>
          <w:tcPr>
            <w:tcW w:w="418" w:type="pct"/>
            <w:shd w:val="clear" w:color="000000" w:fill="FFFFFF"/>
            <w:noWrap w:val="0"/>
            <w:vAlign w:val="center"/>
          </w:tcPr>
          <w:p w14:paraId="725BD25C">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6BC96F9A">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319" w:type="pct"/>
            <w:shd w:val="clear" w:color="auto" w:fill="FF0000"/>
            <w:noWrap w:val="0"/>
            <w:vAlign w:val="center"/>
          </w:tcPr>
          <w:p w14:paraId="141DAF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7925D3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3118C09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0A9F22F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19BB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340" w:type="pct"/>
            <w:vMerge w:val="continue"/>
            <w:shd w:val="clear" w:color="auto" w:fill="auto"/>
            <w:noWrap w:val="0"/>
            <w:vAlign w:val="center"/>
          </w:tcPr>
          <w:p w14:paraId="525E4914">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2E39C676">
            <w:pPr>
              <w:keepNext w:val="0"/>
              <w:keepLines w:val="0"/>
              <w:widowControl/>
              <w:suppressLineNumbers w:val="0"/>
              <w:jc w:val="both"/>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汇聚工业交互单元</w:t>
            </w:r>
          </w:p>
        </w:tc>
        <w:tc>
          <w:tcPr>
            <w:tcW w:w="2005" w:type="pct"/>
            <w:shd w:val="clear" w:color="auto" w:fill="auto"/>
            <w:noWrap w:val="0"/>
            <w:vAlign w:val="center"/>
          </w:tcPr>
          <w:p w14:paraId="77A9032C">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交换容量：不低于600Gbps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包转发率：不低于200Mpps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固定端口：不少于24个千兆光口、4个10/100/1000BASE-T以太网端口；含满配单模光模块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二层功能：支持4K个VLAN、支持基于端口/MAC/协议的VLAN、支持VLAN Mapping功能、支持16K MAC地址、支持4K ARP表项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三层功能：支持RIP/RIPng/OSPF/OSPFv3、支持4K IPv4 FIB表项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管理维护：支持SNMPv1/v2/v3、支持RMON，SSH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工作电压：AC90V～AC264V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工作温度：-5℃～50℃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安装：机架式安装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其他：下联站端各工业交换机，上联硬盘录像机</w:t>
            </w:r>
          </w:p>
        </w:tc>
        <w:tc>
          <w:tcPr>
            <w:tcW w:w="418" w:type="pct"/>
            <w:shd w:val="clear" w:color="000000" w:fill="FFFFFF"/>
            <w:noWrap w:val="0"/>
            <w:vAlign w:val="center"/>
          </w:tcPr>
          <w:p w14:paraId="382088F9">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套</w:t>
            </w:r>
          </w:p>
        </w:tc>
        <w:tc>
          <w:tcPr>
            <w:tcW w:w="274" w:type="pct"/>
            <w:shd w:val="clear" w:color="000000" w:fill="FFFFFF"/>
            <w:noWrap w:val="0"/>
            <w:vAlign w:val="center"/>
          </w:tcPr>
          <w:p w14:paraId="536B0376">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319" w:type="pct"/>
            <w:shd w:val="clear" w:color="auto" w:fill="FF0000"/>
            <w:noWrap w:val="0"/>
            <w:vAlign w:val="center"/>
          </w:tcPr>
          <w:p w14:paraId="7F457B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3F74CC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4817670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00CB863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03AD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340" w:type="pct"/>
            <w:vMerge w:val="continue"/>
            <w:shd w:val="clear" w:color="auto" w:fill="auto"/>
            <w:noWrap w:val="0"/>
            <w:vAlign w:val="center"/>
          </w:tcPr>
          <w:p w14:paraId="34E97D15">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3A446422">
            <w:pPr>
              <w:keepNext w:val="0"/>
              <w:keepLines w:val="0"/>
              <w:widowControl/>
              <w:suppressLineNumbers w:val="0"/>
              <w:jc w:val="both"/>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视频监控箱</w:t>
            </w:r>
          </w:p>
        </w:tc>
        <w:tc>
          <w:tcPr>
            <w:tcW w:w="2005" w:type="pct"/>
            <w:shd w:val="clear" w:color="auto" w:fill="auto"/>
            <w:noWrap w:val="0"/>
            <w:vAlign w:val="center"/>
          </w:tcPr>
          <w:p w14:paraId="2BE798C3">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材质：不锈钢 不低于4mm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尺寸：600mm（宽）*600mm（厚）*1200m（高）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电源分配单元：1个C20/3P，10个10A/2P+VEA30mA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其它：含机架、走线槽、挡板、托盘、接地等；防护等级不低于IP65，户外使用箱体应具备驱潮装置，防止凝露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作用：用于安装电源分配单元及工业级交换机</w:t>
            </w:r>
          </w:p>
        </w:tc>
        <w:tc>
          <w:tcPr>
            <w:tcW w:w="418" w:type="pct"/>
            <w:shd w:val="clear" w:color="000000" w:fill="FFFFFF"/>
            <w:noWrap w:val="0"/>
            <w:vAlign w:val="center"/>
          </w:tcPr>
          <w:p w14:paraId="10D70A1C">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套</w:t>
            </w:r>
          </w:p>
        </w:tc>
        <w:tc>
          <w:tcPr>
            <w:tcW w:w="274" w:type="pct"/>
            <w:shd w:val="clear" w:color="000000" w:fill="FFFFFF"/>
            <w:noWrap w:val="0"/>
            <w:vAlign w:val="center"/>
          </w:tcPr>
          <w:p w14:paraId="3127C498">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319" w:type="pct"/>
            <w:shd w:val="clear" w:color="auto" w:fill="FF0000"/>
            <w:noWrap w:val="0"/>
            <w:vAlign w:val="center"/>
          </w:tcPr>
          <w:p w14:paraId="43217B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26F31F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3102C00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4227D10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745B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340" w:type="pct"/>
            <w:vMerge w:val="continue"/>
            <w:shd w:val="clear" w:color="auto" w:fill="auto"/>
            <w:noWrap w:val="0"/>
            <w:vAlign w:val="center"/>
          </w:tcPr>
          <w:p w14:paraId="78EB602C">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77E14DE8">
            <w:pPr>
              <w:keepNext w:val="0"/>
              <w:keepLines w:val="0"/>
              <w:widowControl/>
              <w:suppressLineNumbers w:val="0"/>
              <w:jc w:val="both"/>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1.6米视频杆</w:t>
            </w:r>
          </w:p>
        </w:tc>
        <w:tc>
          <w:tcPr>
            <w:tcW w:w="2005" w:type="pct"/>
            <w:shd w:val="clear" w:color="auto" w:fill="auto"/>
            <w:noWrap w:val="0"/>
            <w:vAlign w:val="center"/>
          </w:tcPr>
          <w:p w14:paraId="3A598B9C">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含地笼和接地材料，杆体采用直径150MM、壁厚不小于3MM的镀锌钢管，立杆上部开孔直径为50MM，用于穿缆，并套橡皮护套用于防水。</w:t>
            </w:r>
          </w:p>
        </w:tc>
        <w:tc>
          <w:tcPr>
            <w:tcW w:w="418" w:type="pct"/>
            <w:shd w:val="clear" w:color="000000" w:fill="FFFFFF"/>
            <w:noWrap w:val="0"/>
            <w:vAlign w:val="center"/>
          </w:tcPr>
          <w:p w14:paraId="48D11AA3">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根</w:t>
            </w:r>
          </w:p>
        </w:tc>
        <w:tc>
          <w:tcPr>
            <w:tcW w:w="274" w:type="pct"/>
            <w:shd w:val="clear" w:color="000000" w:fill="FFFFFF"/>
            <w:noWrap w:val="0"/>
            <w:vAlign w:val="center"/>
          </w:tcPr>
          <w:p w14:paraId="068CAD93">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319" w:type="pct"/>
            <w:shd w:val="clear" w:color="auto" w:fill="FF0000"/>
            <w:noWrap w:val="0"/>
            <w:vAlign w:val="center"/>
          </w:tcPr>
          <w:p w14:paraId="56AE8C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4C1297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0C7C6A2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06BE0BC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1CC1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340" w:type="pct"/>
            <w:vMerge w:val="continue"/>
            <w:shd w:val="clear" w:color="auto" w:fill="auto"/>
            <w:noWrap w:val="0"/>
            <w:vAlign w:val="center"/>
          </w:tcPr>
          <w:p w14:paraId="0957CC7E">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63D3386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水位压力传感器</w:t>
            </w:r>
          </w:p>
        </w:tc>
        <w:tc>
          <w:tcPr>
            <w:tcW w:w="2005" w:type="pct"/>
            <w:shd w:val="clear" w:color="auto" w:fill="auto"/>
            <w:noWrap w:val="0"/>
            <w:vAlign w:val="center"/>
          </w:tcPr>
          <w:p w14:paraId="16D675E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测量量程：0</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1m～0</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100m 液位可选，对应压力 0</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10kPa~1MPa，可根据水池、集水井、电缆沟水位选配量程。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输出信号：标准 4</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20mA 模拟量输出，可选 RS485</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Modbus 数字信号，便于接入动环、SCADA 采集系统。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测量精度：±0.5% FS，温度补偿范围</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10℃～60℃，降低温度漂移带来的测量误差。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防护与材质：探头防护等级 IP68，可长期浸没水中；探头主体 304/316 不锈钢，抗污水轻度腐蚀。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工作条件：供电 DC12</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24V；线缆为透气专用导气电缆，用于抵消大气压影响；工作温度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20℃～+70℃。</w:t>
            </w:r>
          </w:p>
        </w:tc>
        <w:tc>
          <w:tcPr>
            <w:tcW w:w="418" w:type="pct"/>
            <w:shd w:val="clear" w:color="000000" w:fill="FFFFFF"/>
            <w:noWrap w:val="0"/>
            <w:vAlign w:val="center"/>
          </w:tcPr>
          <w:p w14:paraId="235F2FC9">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274" w:type="pct"/>
            <w:shd w:val="clear" w:color="000000" w:fill="FFFFFF"/>
            <w:noWrap w:val="0"/>
            <w:vAlign w:val="center"/>
          </w:tcPr>
          <w:p w14:paraId="4C225187">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16</w:t>
            </w:r>
          </w:p>
        </w:tc>
        <w:tc>
          <w:tcPr>
            <w:tcW w:w="319" w:type="pct"/>
            <w:shd w:val="clear" w:color="auto" w:fill="FF0000"/>
            <w:noWrap w:val="0"/>
            <w:vAlign w:val="center"/>
          </w:tcPr>
          <w:p w14:paraId="58BD8F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3D8F74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1BBAD4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6D1493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B92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0" w:type="pct"/>
            <w:vMerge w:val="continue"/>
            <w:shd w:val="clear" w:color="auto" w:fill="auto"/>
            <w:noWrap w:val="0"/>
            <w:vAlign w:val="center"/>
          </w:tcPr>
          <w:p w14:paraId="7015C135">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4ACF534F">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水泵监控管理模块</w:t>
            </w:r>
          </w:p>
        </w:tc>
        <w:tc>
          <w:tcPr>
            <w:tcW w:w="2005" w:type="pct"/>
            <w:shd w:val="clear" w:color="auto" w:fill="auto"/>
            <w:noWrap w:val="0"/>
            <w:vAlign w:val="center"/>
          </w:tcPr>
          <w:p w14:paraId="4B039B5F">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柜体设计：可采用壁挂式精密配电柜设计户内安装柜防护等级不低于 IP55，户外安装柜不低于 IP54；柜体采用冷轧钢板制作，钢板厚度≥1.5mm，表面经酸洗、磷化、静电喷塑防腐处理，喷塑层附着力强；柜体预留检修门、散热口，配置门锁及防雨檐（户外型），适配变电站户外日晒、雨淋及室内多粉尘环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核心控制器：采用可编程逻辑控制器（PLC）或水泵专用智能控制器，严禁使用简易浮球继电器方案；控制器具备程序存储、逻辑运算、故障记忆功能，程序支持在线修改、备份及参数锁定，满足变电站无人值守的运行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人机界面：可实时显示液位数值、泵运行 / 停止 / 故障状态、电机运行电流、故障类型、液位控制点设定参数等信息；支持故障记录查询（至少存储近 100 条故障信息）、参数本地设定，操作界面简洁易懂，适配变电站运维操作习惯。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电气元件：断路器、接触器、热继电器、中间继电器、浪涌保护器等主要电气元件选用施耐德、西门子、ABB 或正泰、德力西等同等国际 / 国内知名品牌；所有元件需具备 3C 认证，且与变电站电气系统元件品牌兼容，无质量缺陷。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保护功能：具备缺相、过流、过载、短路、水泵漏水（潜水泵）、液位传感器断线 / 短路等全方面保护功能；保护触发后立即执行停机 / 主备泵切换动作，并进行声光报警及故障自锁，故障排除后需手动复位，防止设备反复故障运行。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布线要求：柜内配线采用阻燃铜芯电缆，线径匹配负载电流，配线整齐、走向清晰，所有接线端子、电缆线芯均做清晰的设备编号、回路编号标识；预留不少于 10% 的备用接线端子，用于与变电站动环系统、现场接地系统的连接。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通讯功能：配置标准 RS485 通讯接口，支持Modbus RTU 通讯协议，通讯波特率可调节，数据传输无丢包、无延迟；如需以太网接入，供货方需免费配套以太网转换器（TCP/IP），确保与变电站原有动环系统完全兼容。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报警功能：配置独立的声光报警装置，高液位、泵故障、传感器故障等报警信号可独立触发，报警音量可调，灯光闪烁频率≥1 次 / 秒，报警信号可手动消音，故障排除后自动复位。</w:t>
            </w:r>
          </w:p>
        </w:tc>
        <w:tc>
          <w:tcPr>
            <w:tcW w:w="418" w:type="pct"/>
            <w:shd w:val="clear" w:color="000000" w:fill="FFFFFF"/>
            <w:noWrap w:val="0"/>
            <w:vAlign w:val="center"/>
          </w:tcPr>
          <w:p w14:paraId="4865D35E">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套</w:t>
            </w:r>
          </w:p>
        </w:tc>
        <w:tc>
          <w:tcPr>
            <w:tcW w:w="274" w:type="pct"/>
            <w:shd w:val="clear" w:color="000000" w:fill="FFFFFF"/>
            <w:noWrap w:val="0"/>
            <w:vAlign w:val="center"/>
          </w:tcPr>
          <w:p w14:paraId="7A9F7BA8">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319" w:type="pct"/>
            <w:shd w:val="clear" w:color="auto" w:fill="FF0000"/>
            <w:noWrap w:val="0"/>
            <w:vAlign w:val="center"/>
          </w:tcPr>
          <w:p w14:paraId="3DF4BD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78AF52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1A8A9C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187BE4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237C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1" w:hRule="atLeast"/>
          <w:jc w:val="center"/>
        </w:trPr>
        <w:tc>
          <w:tcPr>
            <w:tcW w:w="340" w:type="pct"/>
            <w:vMerge w:val="continue"/>
            <w:shd w:val="clear" w:color="auto" w:fill="auto"/>
            <w:noWrap w:val="0"/>
            <w:vAlign w:val="center"/>
          </w:tcPr>
          <w:p w14:paraId="728D9262">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24C31DB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智能控制模块2P</w:t>
            </w:r>
          </w:p>
        </w:tc>
        <w:tc>
          <w:tcPr>
            <w:tcW w:w="2005" w:type="pct"/>
            <w:shd w:val="clear" w:color="auto" w:fill="auto"/>
            <w:noWrap w:val="0"/>
            <w:vAlign w:val="center"/>
          </w:tcPr>
          <w:p w14:paraId="24083A1C">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供电：适配交流 220V 供电，防护等级≥IP65，耐受变电站室内温湿度变化及电磁干扰。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核心功能：具备逻辑判断、自动启停控制、过载保护、短路保护、缺相保护、水泵干转保护功能；可实时接收水位传感器信号，按预设水位阈值自动触发水泵启停。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响应速度：信号响应时间≤1s，可精准识别水位变化，避免水泵频繁启停造成设备损耗。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模式切换：支持手动 / 自动模式无缝切换，切换过程无冲击，不影响系统整体运行；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通讯功能：具备 RS485 通讯接口，支持与水泵监控管理系统、变电站智能辅助控制平台对接，实现数据传输及远程控制。</w:t>
            </w:r>
          </w:p>
        </w:tc>
        <w:tc>
          <w:tcPr>
            <w:tcW w:w="418" w:type="pct"/>
            <w:shd w:val="clear" w:color="000000" w:fill="FFFFFF"/>
            <w:noWrap w:val="0"/>
            <w:vAlign w:val="center"/>
          </w:tcPr>
          <w:p w14:paraId="6CF8FBDC">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274" w:type="pct"/>
            <w:shd w:val="clear" w:color="000000" w:fill="FFFFFF"/>
            <w:noWrap w:val="0"/>
            <w:vAlign w:val="center"/>
          </w:tcPr>
          <w:p w14:paraId="0A1BB6D3">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20</w:t>
            </w:r>
          </w:p>
        </w:tc>
        <w:tc>
          <w:tcPr>
            <w:tcW w:w="319" w:type="pct"/>
            <w:shd w:val="clear" w:color="auto" w:fill="FF0000"/>
            <w:noWrap w:val="0"/>
            <w:vAlign w:val="center"/>
          </w:tcPr>
          <w:p w14:paraId="1345CE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390EAD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4E1929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0A8889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2EF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0" w:type="pct"/>
            <w:vMerge w:val="continue"/>
            <w:shd w:val="clear" w:color="auto" w:fill="auto"/>
            <w:noWrap w:val="0"/>
            <w:vAlign w:val="center"/>
          </w:tcPr>
          <w:p w14:paraId="39B5C0A9">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3BEA2E20">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潜水排污泵（Ⅰ型）</w:t>
            </w:r>
          </w:p>
        </w:tc>
        <w:tc>
          <w:tcPr>
            <w:tcW w:w="2005" w:type="pct"/>
            <w:shd w:val="clear" w:color="auto" w:fill="auto"/>
            <w:noWrap w:val="0"/>
            <w:vAlign w:val="center"/>
          </w:tcPr>
          <w:p w14:paraId="3D8B213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材质：过流部件需根据介质腐蚀性选择铸铁、不锈钢304/316或更高等级材料。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性能：流量100m³/h、扬程30m，功率15kW，满足设计工况点要求，并运行在高效区。提供性能曲线图。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密封：采用机械密封，泄漏量符合国家标准。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电机：防护等级不低于IP55，绝缘等级F级，B级温升考核。电源：380V AC， 3相， 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进、出水口径为DN80。</w:t>
            </w:r>
          </w:p>
        </w:tc>
        <w:tc>
          <w:tcPr>
            <w:tcW w:w="418" w:type="pct"/>
            <w:shd w:val="clear" w:color="000000" w:fill="FFFFFF"/>
            <w:noWrap w:val="0"/>
            <w:vAlign w:val="center"/>
          </w:tcPr>
          <w:p w14:paraId="264F10F5">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4BCF5356">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9</w:t>
            </w:r>
          </w:p>
        </w:tc>
        <w:tc>
          <w:tcPr>
            <w:tcW w:w="319" w:type="pct"/>
            <w:shd w:val="clear" w:color="auto" w:fill="FF0000"/>
            <w:noWrap w:val="0"/>
            <w:vAlign w:val="center"/>
          </w:tcPr>
          <w:p w14:paraId="055144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6B943C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14CA80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5BD34C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2C2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340" w:type="pct"/>
            <w:vMerge w:val="continue"/>
            <w:shd w:val="clear" w:color="auto" w:fill="auto"/>
            <w:noWrap w:val="0"/>
            <w:vAlign w:val="center"/>
          </w:tcPr>
          <w:p w14:paraId="5E5BDBF4">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2D339F6A">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潜水排污泵（Ⅱ型）</w:t>
            </w:r>
          </w:p>
        </w:tc>
        <w:tc>
          <w:tcPr>
            <w:tcW w:w="2005" w:type="pct"/>
            <w:shd w:val="clear" w:color="auto" w:fill="auto"/>
            <w:noWrap w:val="0"/>
            <w:vAlign w:val="center"/>
          </w:tcPr>
          <w:p w14:paraId="29C1D53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材质：过流部件需根据介质腐蚀性选择铸铁、不锈钢304/316或更高等级材料。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性能：流量100m³/h、扬程30m，功率15kW，满足设计工况点要求，并运行在高效区。提供性能曲线图。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密封：采用机械密封，泄漏量符合国家标准。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电机：防护等级不低于IP55，绝缘等级F级，B级温升考核。电源：380V AC， 3相， 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进、出水口径为DN50。</w:t>
            </w:r>
          </w:p>
        </w:tc>
        <w:tc>
          <w:tcPr>
            <w:tcW w:w="418" w:type="pct"/>
            <w:shd w:val="clear" w:color="000000" w:fill="FFFFFF"/>
            <w:noWrap w:val="0"/>
            <w:vAlign w:val="center"/>
          </w:tcPr>
          <w:p w14:paraId="1ED17EB4">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274" w:type="pct"/>
            <w:shd w:val="clear" w:color="000000" w:fill="FFFFFF"/>
            <w:noWrap w:val="0"/>
            <w:vAlign w:val="center"/>
          </w:tcPr>
          <w:p w14:paraId="1791ECBF">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9</w:t>
            </w:r>
          </w:p>
        </w:tc>
        <w:tc>
          <w:tcPr>
            <w:tcW w:w="319" w:type="pct"/>
            <w:shd w:val="clear" w:color="auto" w:fill="FF0000"/>
            <w:noWrap w:val="0"/>
            <w:vAlign w:val="center"/>
          </w:tcPr>
          <w:p w14:paraId="43ECFB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0BD125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79B12D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4BF1D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CD9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340" w:type="pct"/>
            <w:vMerge w:val="continue"/>
            <w:shd w:val="clear" w:color="auto" w:fill="auto"/>
            <w:noWrap w:val="0"/>
            <w:vAlign w:val="center"/>
          </w:tcPr>
          <w:p w14:paraId="2779DB62">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753883EA">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低压电力电缆</w:t>
            </w:r>
          </w:p>
        </w:tc>
        <w:tc>
          <w:tcPr>
            <w:tcW w:w="2005" w:type="pct"/>
            <w:shd w:val="clear" w:color="auto" w:fill="auto"/>
            <w:noWrap w:val="0"/>
            <w:vAlign w:val="center"/>
          </w:tcPr>
          <w:p w14:paraId="5B91295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ZR-VV 1kV  五芯 10</w:t>
            </w:r>
          </w:p>
        </w:tc>
        <w:tc>
          <w:tcPr>
            <w:tcW w:w="418" w:type="pct"/>
            <w:shd w:val="clear" w:color="000000" w:fill="FFFFFF"/>
            <w:noWrap w:val="0"/>
            <w:vAlign w:val="center"/>
          </w:tcPr>
          <w:p w14:paraId="2B2FECEF">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274" w:type="pct"/>
            <w:shd w:val="clear" w:color="000000" w:fill="FFFFFF"/>
            <w:noWrap w:val="0"/>
            <w:vAlign w:val="center"/>
          </w:tcPr>
          <w:p w14:paraId="52186C19">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2700</w:t>
            </w:r>
          </w:p>
        </w:tc>
        <w:tc>
          <w:tcPr>
            <w:tcW w:w="319" w:type="pct"/>
            <w:shd w:val="clear" w:color="auto" w:fill="FF0000"/>
            <w:noWrap w:val="0"/>
            <w:vAlign w:val="center"/>
          </w:tcPr>
          <w:p w14:paraId="393359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65FBD6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2DF2B5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291863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61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jc w:val="center"/>
        </w:trPr>
        <w:tc>
          <w:tcPr>
            <w:tcW w:w="340" w:type="pct"/>
            <w:vMerge w:val="continue"/>
            <w:shd w:val="clear" w:color="auto" w:fill="auto"/>
            <w:noWrap w:val="0"/>
            <w:vAlign w:val="center"/>
          </w:tcPr>
          <w:p w14:paraId="14B49090">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3A1AED61">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RS485通讯电缆</w:t>
            </w:r>
          </w:p>
        </w:tc>
        <w:tc>
          <w:tcPr>
            <w:tcW w:w="2005" w:type="pct"/>
            <w:shd w:val="clear" w:color="auto" w:fill="auto"/>
            <w:noWrap w:val="0"/>
            <w:vAlign w:val="center"/>
          </w:tcPr>
          <w:p w14:paraId="66CF6EAB">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RS485通讯电缆</w:t>
            </w:r>
          </w:p>
        </w:tc>
        <w:tc>
          <w:tcPr>
            <w:tcW w:w="418" w:type="pct"/>
            <w:shd w:val="clear" w:color="000000" w:fill="FFFFFF"/>
            <w:noWrap w:val="0"/>
            <w:vAlign w:val="center"/>
          </w:tcPr>
          <w:p w14:paraId="7347AFA1">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274" w:type="pct"/>
            <w:shd w:val="clear" w:color="000000" w:fill="FFFFFF"/>
            <w:noWrap w:val="0"/>
            <w:vAlign w:val="center"/>
          </w:tcPr>
          <w:p w14:paraId="329AFC7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3000</w:t>
            </w:r>
          </w:p>
        </w:tc>
        <w:tc>
          <w:tcPr>
            <w:tcW w:w="319" w:type="pct"/>
            <w:shd w:val="clear" w:color="auto" w:fill="FF0000"/>
            <w:noWrap w:val="0"/>
            <w:vAlign w:val="center"/>
          </w:tcPr>
          <w:p w14:paraId="0BCF2F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34A9EE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15B216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4C514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2CAA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0" w:type="pct"/>
            <w:vMerge w:val="continue"/>
            <w:shd w:val="clear" w:color="auto" w:fill="auto"/>
            <w:noWrap w:val="0"/>
            <w:vAlign w:val="center"/>
          </w:tcPr>
          <w:p w14:paraId="415C9883">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3A4D8F07">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网络线</w:t>
            </w:r>
          </w:p>
        </w:tc>
        <w:tc>
          <w:tcPr>
            <w:tcW w:w="2005" w:type="pct"/>
            <w:shd w:val="clear" w:color="auto" w:fill="auto"/>
            <w:noWrap w:val="0"/>
            <w:vAlign w:val="center"/>
          </w:tcPr>
          <w:p w14:paraId="2BF6EA2E">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铠装户外超六类网线</w:t>
            </w:r>
          </w:p>
        </w:tc>
        <w:tc>
          <w:tcPr>
            <w:tcW w:w="418" w:type="pct"/>
            <w:shd w:val="clear" w:color="000000" w:fill="FFFFFF"/>
            <w:noWrap w:val="0"/>
            <w:vAlign w:val="center"/>
          </w:tcPr>
          <w:p w14:paraId="54DF6428">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274" w:type="pct"/>
            <w:shd w:val="clear" w:color="000000" w:fill="FFFFFF"/>
            <w:noWrap w:val="0"/>
            <w:vAlign w:val="center"/>
          </w:tcPr>
          <w:p w14:paraId="755CB617">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300</w:t>
            </w:r>
          </w:p>
        </w:tc>
        <w:tc>
          <w:tcPr>
            <w:tcW w:w="319" w:type="pct"/>
            <w:shd w:val="clear" w:color="auto" w:fill="FF0000"/>
            <w:noWrap w:val="0"/>
            <w:vAlign w:val="center"/>
          </w:tcPr>
          <w:p w14:paraId="62EDC4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0D693D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2A4AA6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4EF30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28C7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340" w:type="pct"/>
            <w:vMerge w:val="continue"/>
            <w:shd w:val="clear" w:color="auto" w:fill="auto"/>
            <w:noWrap w:val="0"/>
            <w:vAlign w:val="center"/>
          </w:tcPr>
          <w:p w14:paraId="35908416">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6D7ABEDF">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铠装阻燃电源电缆（电源线）</w:t>
            </w:r>
          </w:p>
        </w:tc>
        <w:tc>
          <w:tcPr>
            <w:tcW w:w="2005" w:type="pct"/>
            <w:shd w:val="clear" w:color="auto" w:fill="auto"/>
            <w:noWrap w:val="0"/>
            <w:vAlign w:val="center"/>
          </w:tcPr>
          <w:p w14:paraId="72A65498">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ZR-RVV22-2*1.5</w:t>
            </w:r>
          </w:p>
        </w:tc>
        <w:tc>
          <w:tcPr>
            <w:tcW w:w="418" w:type="pct"/>
            <w:shd w:val="clear" w:color="000000" w:fill="FFFFFF"/>
            <w:noWrap w:val="0"/>
            <w:vAlign w:val="center"/>
          </w:tcPr>
          <w:p w14:paraId="7F70ADD1">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274" w:type="pct"/>
            <w:shd w:val="clear" w:color="000000" w:fill="FFFFFF"/>
            <w:noWrap w:val="0"/>
            <w:vAlign w:val="center"/>
          </w:tcPr>
          <w:p w14:paraId="0B2F5A7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4000</w:t>
            </w:r>
          </w:p>
        </w:tc>
        <w:tc>
          <w:tcPr>
            <w:tcW w:w="319" w:type="pct"/>
            <w:shd w:val="clear" w:color="auto" w:fill="FF0000"/>
            <w:noWrap w:val="0"/>
            <w:vAlign w:val="center"/>
          </w:tcPr>
          <w:p w14:paraId="03396A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444CE7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0646AC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1C20D3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8E0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340" w:type="pct"/>
            <w:vMerge w:val="continue"/>
            <w:shd w:val="clear" w:color="auto" w:fill="auto"/>
            <w:noWrap w:val="0"/>
            <w:vAlign w:val="center"/>
          </w:tcPr>
          <w:p w14:paraId="3E2A0751">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75B47274">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穿线管材</w:t>
            </w:r>
          </w:p>
        </w:tc>
        <w:tc>
          <w:tcPr>
            <w:tcW w:w="2005" w:type="pct"/>
            <w:shd w:val="clear" w:color="auto" w:fill="auto"/>
            <w:noWrap w:val="0"/>
            <w:vAlign w:val="center"/>
          </w:tcPr>
          <w:p w14:paraId="6982DB8B">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∅50PVC管</w:t>
            </w:r>
          </w:p>
        </w:tc>
        <w:tc>
          <w:tcPr>
            <w:tcW w:w="418" w:type="pct"/>
            <w:shd w:val="clear" w:color="000000" w:fill="FFFFFF"/>
            <w:noWrap w:val="0"/>
            <w:vAlign w:val="center"/>
          </w:tcPr>
          <w:p w14:paraId="00B1376A">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274" w:type="pct"/>
            <w:shd w:val="clear" w:color="000000" w:fill="FFFFFF"/>
            <w:noWrap w:val="0"/>
            <w:vAlign w:val="center"/>
          </w:tcPr>
          <w:p w14:paraId="0DAE3C1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2800</w:t>
            </w:r>
          </w:p>
        </w:tc>
        <w:tc>
          <w:tcPr>
            <w:tcW w:w="319" w:type="pct"/>
            <w:shd w:val="clear" w:color="auto" w:fill="FF0000"/>
            <w:noWrap w:val="0"/>
            <w:vAlign w:val="center"/>
          </w:tcPr>
          <w:p w14:paraId="3C7E8E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3754F3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3A4509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B82D5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AEB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0" w:type="pct"/>
            <w:vMerge w:val="continue"/>
            <w:shd w:val="clear" w:color="auto" w:fill="auto"/>
            <w:noWrap w:val="0"/>
            <w:vAlign w:val="center"/>
          </w:tcPr>
          <w:p w14:paraId="37308725">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711CAF61">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接地铜线</w:t>
            </w:r>
          </w:p>
        </w:tc>
        <w:tc>
          <w:tcPr>
            <w:tcW w:w="2005" w:type="pct"/>
            <w:shd w:val="clear" w:color="auto" w:fill="auto"/>
            <w:noWrap w:val="0"/>
            <w:vAlign w:val="center"/>
          </w:tcPr>
          <w:p w14:paraId="1740F175">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VV-1.0-1*50</w:t>
            </w:r>
          </w:p>
        </w:tc>
        <w:tc>
          <w:tcPr>
            <w:tcW w:w="418" w:type="pct"/>
            <w:shd w:val="clear" w:color="000000" w:fill="FFFFFF"/>
            <w:noWrap w:val="0"/>
            <w:vAlign w:val="center"/>
          </w:tcPr>
          <w:p w14:paraId="00E70735">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274" w:type="pct"/>
            <w:shd w:val="clear" w:color="000000" w:fill="FFFFFF"/>
            <w:noWrap w:val="0"/>
            <w:vAlign w:val="center"/>
          </w:tcPr>
          <w:p w14:paraId="12C1C0E6">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200</w:t>
            </w:r>
          </w:p>
        </w:tc>
        <w:tc>
          <w:tcPr>
            <w:tcW w:w="319" w:type="pct"/>
            <w:shd w:val="clear" w:color="auto" w:fill="FF0000"/>
            <w:noWrap w:val="0"/>
            <w:vAlign w:val="center"/>
          </w:tcPr>
          <w:p w14:paraId="76439D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3FAFA8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78BC6F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0170D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8C8E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40" w:type="pct"/>
            <w:vMerge w:val="continue"/>
            <w:shd w:val="clear" w:color="auto" w:fill="auto"/>
            <w:noWrap w:val="0"/>
            <w:vAlign w:val="center"/>
          </w:tcPr>
          <w:p w14:paraId="286F4911">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4E493CE9">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防火隔板</w:t>
            </w:r>
          </w:p>
        </w:tc>
        <w:tc>
          <w:tcPr>
            <w:tcW w:w="2005" w:type="pct"/>
            <w:shd w:val="clear" w:color="auto" w:fill="auto"/>
            <w:noWrap w:val="0"/>
            <w:vAlign w:val="center"/>
          </w:tcPr>
          <w:p w14:paraId="63210937">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燃烧性能：A 级不燃，执行 GB 8624，无明火、不产生大量有毒烟气，符合 GB23864</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2023 防火封堵材料标准。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耐火极限：耐火完整性与隔热性≥2h，高温下不垮塌、不开裂，用于电缆沟、桥架防火分隔中国建筑科...。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力学性能：干态抗弯强度≥11MPa，浸水饱和抗弯强度≥6MPa，可切割钻孔，现场加工安装。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板材规格密度：板厚≥10mm，体积密度 1200</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1700kg/m³；无机基材，不含石棉，尺寸可现场裁切。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耐环境性能：耐水、耐潮、耐电缆油腐蚀；吸湿变形率≤0.35%，适应电缆沟潮湿环境，拼接缝隙配套防火堵料密封。</w:t>
            </w:r>
          </w:p>
        </w:tc>
        <w:tc>
          <w:tcPr>
            <w:tcW w:w="418" w:type="pct"/>
            <w:shd w:val="clear" w:color="000000" w:fill="FFFFFF"/>
            <w:noWrap w:val="0"/>
            <w:vAlign w:val="center"/>
          </w:tcPr>
          <w:p w14:paraId="6902B187">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m²</w:t>
            </w:r>
          </w:p>
        </w:tc>
        <w:tc>
          <w:tcPr>
            <w:tcW w:w="274" w:type="pct"/>
            <w:shd w:val="clear" w:color="000000" w:fill="FFFFFF"/>
            <w:noWrap w:val="0"/>
            <w:vAlign w:val="center"/>
          </w:tcPr>
          <w:p w14:paraId="23D5E902">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319" w:type="pct"/>
            <w:shd w:val="clear" w:color="auto" w:fill="FF0000"/>
            <w:noWrap w:val="0"/>
            <w:vAlign w:val="center"/>
          </w:tcPr>
          <w:p w14:paraId="41438F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0D2304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22A9A8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5DAC61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6D5F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1" w:hRule="atLeast"/>
          <w:jc w:val="center"/>
        </w:trPr>
        <w:tc>
          <w:tcPr>
            <w:tcW w:w="340" w:type="pct"/>
            <w:vMerge w:val="continue"/>
            <w:shd w:val="clear" w:color="auto" w:fill="auto"/>
            <w:noWrap w:val="0"/>
            <w:vAlign w:val="center"/>
          </w:tcPr>
          <w:p w14:paraId="18A4109E">
            <w:pPr>
              <w:widowControl/>
              <w:jc w:val="center"/>
              <w:rPr>
                <w:rFonts w:hint="eastAsia" w:ascii="宋体" w:hAnsi="宋体" w:eastAsia="宋体" w:cs="宋体"/>
                <w:b w:val="0"/>
                <w:bCs w:val="0"/>
                <w:color w:val="000000"/>
                <w:sz w:val="24"/>
                <w:szCs w:val="24"/>
                <w:lang w:val="en-US" w:eastAsia="zh-CN"/>
              </w:rPr>
            </w:pPr>
          </w:p>
        </w:tc>
        <w:tc>
          <w:tcPr>
            <w:tcW w:w="269" w:type="pct"/>
            <w:shd w:val="clear" w:color="auto" w:fill="auto"/>
            <w:noWrap w:val="0"/>
            <w:vAlign w:val="center"/>
          </w:tcPr>
          <w:p w14:paraId="592DD3E9">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防火封堵材料</w:t>
            </w:r>
          </w:p>
        </w:tc>
        <w:tc>
          <w:tcPr>
            <w:tcW w:w="2005" w:type="pct"/>
            <w:shd w:val="clear" w:color="auto" w:fill="auto"/>
            <w:noWrap w:val="0"/>
            <w:vAlign w:val="center"/>
          </w:tcPr>
          <w:p w14:paraId="606C5701">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耐火性能：电力火灾工况 F</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DL，耐火完整性 + 隔热性 EI≥2h，遇火膨胀炭化，有效阻隔火焰、烟气蔓延，适用于电缆孔洞、桥架缝隙封堵。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燃烧性能：有机类封堵材料燃烧性能不低于 GB8624 B2 级；无机堵料、阻火模块为不燃基材，低烟无毒，产烟毒性达到 ZA2 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理化耐久性能：耐水浸泡 72h 不溶胀不开裂；耐变压器油浸泡 72h 无异常；耐湿热 120h、冻融循环 15 次，不开裂、不粉化、无腐蚀锈蚀现象建标库。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施工特性：柔性有机堵料可塑性强，可反复拆装；无机堵料固化成型强度高；可适配电缆不规则缝隙、穿墙穿楼板孔洞，便于后期电缆增容改造。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环境适应性：工作环境</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20℃～+70℃，适应电缆沟潮湿、配电室温变环境；气密性优良，减少烟气窜流，不含石棉等有害成分。</w:t>
            </w:r>
          </w:p>
        </w:tc>
        <w:tc>
          <w:tcPr>
            <w:tcW w:w="418" w:type="pct"/>
            <w:shd w:val="clear" w:color="000000" w:fill="FFFFFF"/>
            <w:noWrap w:val="0"/>
            <w:vAlign w:val="center"/>
          </w:tcPr>
          <w:p w14:paraId="5030006F">
            <w:pPr>
              <w:keepNext w:val="0"/>
              <w:keepLines w:val="0"/>
              <w:widowControl/>
              <w:suppressLineNumbers w:val="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千克</w:t>
            </w:r>
          </w:p>
        </w:tc>
        <w:tc>
          <w:tcPr>
            <w:tcW w:w="274" w:type="pct"/>
            <w:shd w:val="clear" w:color="000000" w:fill="FFFFFF"/>
            <w:noWrap w:val="0"/>
            <w:vAlign w:val="center"/>
          </w:tcPr>
          <w:p w14:paraId="5C4CD8A8">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100</w:t>
            </w:r>
          </w:p>
        </w:tc>
        <w:tc>
          <w:tcPr>
            <w:tcW w:w="319" w:type="pct"/>
            <w:shd w:val="clear" w:color="auto" w:fill="FF0000"/>
            <w:noWrap w:val="0"/>
            <w:vAlign w:val="center"/>
          </w:tcPr>
          <w:p w14:paraId="77E766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2D17AD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7EB08B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3A3EF6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CA5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340" w:type="pct"/>
            <w:vMerge w:val="continue"/>
            <w:shd w:val="clear" w:color="auto" w:fill="auto"/>
            <w:noWrap w:val="0"/>
            <w:vAlign w:val="center"/>
          </w:tcPr>
          <w:p w14:paraId="2E3DF134">
            <w:pPr>
              <w:widowControl/>
              <w:jc w:val="center"/>
              <w:rPr>
                <w:rFonts w:hint="eastAsia" w:ascii="宋体" w:hAnsi="宋体" w:eastAsia="宋体" w:cs="宋体"/>
                <w:kern w:val="0"/>
                <w:sz w:val="24"/>
                <w:szCs w:val="24"/>
              </w:rPr>
            </w:pPr>
          </w:p>
        </w:tc>
        <w:tc>
          <w:tcPr>
            <w:tcW w:w="269" w:type="pct"/>
            <w:shd w:val="clear" w:color="auto" w:fill="auto"/>
            <w:noWrap w:val="0"/>
            <w:vAlign w:val="center"/>
          </w:tcPr>
          <w:p w14:paraId="7A17DD14">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防火涂料</w:t>
            </w:r>
          </w:p>
        </w:tc>
        <w:tc>
          <w:tcPr>
            <w:tcW w:w="2005" w:type="pct"/>
            <w:shd w:val="clear" w:color="auto" w:fill="auto"/>
            <w:noWrap w:val="0"/>
            <w:vAlign w:val="center"/>
          </w:tcPr>
          <w:p w14:paraId="1119A5C6">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阻燃膨胀性能：膨胀型水基防火涂料，遇火形成致密隔热炭化层，炭化高度≤2.5m，可有效抑制火焰沿电缆蔓延，低烟无毒，烟密度等级≥60%。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理化耐久性能：耐油浸泡 7d 涂层无起泡、开裂、剥落；耐冻融循环 15 次无异常，适应电缆沟潮湿、温差环境，附着力强，刷涂、喷涂均可施工。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施工与环境：表干≤5h，实干≤24h；水基型无刺激性气味，干膜涂层厚度≥0.8</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1.0mm，不含石棉等有害物质，适配电力电缆防火防护。</w:t>
            </w:r>
          </w:p>
        </w:tc>
        <w:tc>
          <w:tcPr>
            <w:tcW w:w="418" w:type="pct"/>
            <w:shd w:val="clear" w:color="000000" w:fill="FFFFFF"/>
            <w:noWrap w:val="0"/>
            <w:vAlign w:val="center"/>
          </w:tcPr>
          <w:p w14:paraId="4C96A8A4">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千克</w:t>
            </w:r>
          </w:p>
        </w:tc>
        <w:tc>
          <w:tcPr>
            <w:tcW w:w="274" w:type="pct"/>
            <w:shd w:val="clear" w:color="000000" w:fill="FFFFFF"/>
            <w:noWrap w:val="0"/>
            <w:vAlign w:val="center"/>
          </w:tcPr>
          <w:p w14:paraId="213E56AE">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80</w:t>
            </w:r>
          </w:p>
        </w:tc>
        <w:tc>
          <w:tcPr>
            <w:tcW w:w="319" w:type="pct"/>
            <w:shd w:val="clear" w:color="auto" w:fill="FF0000"/>
            <w:noWrap w:val="0"/>
            <w:vAlign w:val="center"/>
          </w:tcPr>
          <w:p w14:paraId="549B4C1A">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30" w:type="pct"/>
            <w:noWrap w:val="0"/>
            <w:vAlign w:val="center"/>
          </w:tcPr>
          <w:p w14:paraId="4ECE9EC5">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36个月</w:t>
            </w:r>
          </w:p>
        </w:tc>
        <w:tc>
          <w:tcPr>
            <w:tcW w:w="380" w:type="pct"/>
            <w:noWrap w:val="0"/>
            <w:vAlign w:val="center"/>
          </w:tcPr>
          <w:p w14:paraId="7AF39DAD">
            <w:pPr>
              <w:keepNext w:val="0"/>
              <w:keepLines w:val="0"/>
              <w:widowControl/>
              <w:suppressLineNumbers w:val="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买方指定地点</w:t>
            </w:r>
          </w:p>
        </w:tc>
        <w:tc>
          <w:tcPr>
            <w:tcW w:w="561" w:type="pct"/>
            <w:noWrap w:val="0"/>
            <w:vAlign w:val="center"/>
          </w:tcPr>
          <w:p w14:paraId="7B8DF6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14:paraId="30DAEB5C">
      <w:pPr>
        <w:keepNext w:val="0"/>
        <w:keepLines w:val="0"/>
        <w:pageBreakBefore w:val="0"/>
        <w:widowControl w:val="0"/>
        <w:shd w:val="clear"/>
        <w:kinsoku/>
        <w:wordWrap/>
        <w:overflowPunct/>
        <w:topLinePunct w:val="0"/>
        <w:bidi w:val="0"/>
        <w:adjustRightInd w:val="0"/>
        <w:snapToGrid w:val="0"/>
        <w:spacing w:after="0" w:line="400" w:lineRule="exact"/>
        <w:jc w:val="both"/>
        <w:textAlignment w:val="auto"/>
        <w:rPr>
          <w:rFonts w:hint="eastAsia" w:ascii="宋体" w:hAnsi="宋体" w:eastAsia="宋体" w:cs="宋体"/>
          <w:color w:val="auto"/>
          <w:kern w:val="2"/>
          <w:sz w:val="21"/>
          <w:szCs w:val="21"/>
          <w:highlight w:val="none"/>
          <w:lang w:eastAsia="zh-CN" w:bidi="ar-SA"/>
        </w:rPr>
      </w:pPr>
    </w:p>
    <w:p w14:paraId="45F33534">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具体供货不局限于上述产品。应包括上述产品相关配件，类似升级产品。</w:t>
      </w:r>
    </w:p>
    <w:p w14:paraId="61C12CE5">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322BECCF">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49D43CED">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sectPr>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4FE1">
    <w:pPr>
      <w:pStyle w:val="7"/>
      <w:spacing w:beforeLines="0" w:afterLines="0"/>
      <w:jc w:val="center"/>
      <w:rPr>
        <w:rFonts w:hint="eastAsia" w:eastAsia="等线"/>
        <w:sz w:val="18"/>
        <w:szCs w:val="18"/>
      </w:rPr>
    </w:pPr>
    <w:r>
      <w:rPr>
        <w:rFonts w:hint="default"/>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DA4308A">
                          <w:pPr>
                            <w:pStyle w:val="7"/>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Nc4yT/O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87pFYVXhDe7hKSKNzyhBF2GozXVdRNq5X34d/30nX/O6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DXOMk/zgEAAJYDAAAOAAAAAAAAAAEAIAAAAB8BAABkcnMv&#10;ZTJvRG9jLnhtbFBLBQYAAAAABgAGAFkBAABfBQAAAAA=&#10;">
              <v:fill on="f" focussize="0,0"/>
              <v:stroke on="f"/>
              <v:imagedata o:title=""/>
              <o:lock v:ext="edit" aspectratio="f"/>
              <v:textbox inset="0mm,0mm,0mm,0mm" style="mso-fit-shape-to-text:t;">
                <w:txbxContent>
                  <w:p w14:paraId="7DA4308A">
                    <w:pPr>
                      <w:pStyle w:val="7"/>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v:textbox>
            </v:shape>
          </w:pict>
        </mc:Fallback>
      </mc:AlternateContent>
    </w:r>
    <w:r>
      <w:rPr>
        <w:rFonts w:hint="eastAsia" w:eastAsia="等线"/>
        <w:sz w:val="18"/>
        <w:szCs w:val="18"/>
      </w:rPr>
      <w:t xml:space="preserve">     </w:t>
    </w:r>
  </w:p>
  <w:p w14:paraId="4C1BA968">
    <w:pPr>
      <w:pStyle w:val="7"/>
      <w:spacing w:beforeLines="0" w:afterLines="0"/>
      <w:rPr>
        <w:rFonts w:hint="defaul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4B3000"/>
    <w:rsid w:val="00771B68"/>
    <w:rsid w:val="01952C9F"/>
    <w:rsid w:val="02FB6D7F"/>
    <w:rsid w:val="05E95CE9"/>
    <w:rsid w:val="07AF45F8"/>
    <w:rsid w:val="08506EEE"/>
    <w:rsid w:val="0F45125C"/>
    <w:rsid w:val="10A51DDA"/>
    <w:rsid w:val="1F4B3000"/>
    <w:rsid w:val="1FD62287"/>
    <w:rsid w:val="1FFC753C"/>
    <w:rsid w:val="247A4BEB"/>
    <w:rsid w:val="273913C7"/>
    <w:rsid w:val="2E5C3FC8"/>
    <w:rsid w:val="34117602"/>
    <w:rsid w:val="34C07164"/>
    <w:rsid w:val="37DC3A83"/>
    <w:rsid w:val="39333B77"/>
    <w:rsid w:val="3D27080E"/>
    <w:rsid w:val="3F7D71BF"/>
    <w:rsid w:val="41DA7286"/>
    <w:rsid w:val="42245F5D"/>
    <w:rsid w:val="431B5DA8"/>
    <w:rsid w:val="45CE552A"/>
    <w:rsid w:val="4A5767AB"/>
    <w:rsid w:val="4DD033AE"/>
    <w:rsid w:val="50FB2D75"/>
    <w:rsid w:val="51D14780"/>
    <w:rsid w:val="525E5C4F"/>
    <w:rsid w:val="52D02C2A"/>
    <w:rsid w:val="53933738"/>
    <w:rsid w:val="55AA3239"/>
    <w:rsid w:val="56E04EE6"/>
    <w:rsid w:val="58B64DDB"/>
    <w:rsid w:val="60601D56"/>
    <w:rsid w:val="65B732B6"/>
    <w:rsid w:val="6CFE17CB"/>
    <w:rsid w:val="6F9401C4"/>
    <w:rsid w:val="7141612A"/>
    <w:rsid w:val="77A61258"/>
    <w:rsid w:val="799314ED"/>
    <w:rsid w:val="7C1E1DB3"/>
    <w:rsid w:val="7CA81753"/>
    <w:rsid w:val="7CDB7433"/>
    <w:rsid w:val="7EFE7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spacing w:beforeLines="0" w:afterLines="0"/>
      <w:jc w:val="both"/>
    </w:pPr>
    <w:rPr>
      <w:rFonts w:hint="eastAsia" w:ascii="等线" w:hAnsi="等线" w:eastAsia="等线" w:cs="Times New Roman"/>
      <w:kern w:val="2"/>
      <w:sz w:val="21"/>
      <w:szCs w:val="22"/>
      <w:lang w:val="en-US" w:eastAsia="zh-CN" w:bidi="ar-SA"/>
    </w:rPr>
  </w:style>
  <w:style w:type="paragraph" w:styleId="4">
    <w:name w:val="heading 2"/>
    <w:basedOn w:val="1"/>
    <w:next w:val="1"/>
    <w:unhideWhenUsed/>
    <w:qFormat/>
    <w:uiPriority w:val="0"/>
    <w:pPr>
      <w:autoSpaceDE w:val="0"/>
      <w:autoSpaceDN w:val="0"/>
      <w:spacing w:beforeLines="0" w:afterLines="0"/>
      <w:ind w:left="801" w:hanging="401"/>
      <w:jc w:val="left"/>
      <w:outlineLvl w:val="1"/>
    </w:pPr>
    <w:rPr>
      <w:rFonts w:hint="eastAsia" w:ascii="Microsoft JhengHei" w:hAnsi="Microsoft JhengHei" w:eastAsia="Microsoft JhengHei" w:cs="Microsoft JhengHei"/>
      <w:b/>
      <w:sz w:val="32"/>
      <w:szCs w:val="32"/>
      <w:lang w:val="zh-CN"/>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unhideWhenUsed/>
    <w:qFormat/>
    <w:uiPriority w:val="1"/>
    <w:pPr>
      <w:ind w:left="220"/>
    </w:pPr>
    <w:rPr>
      <w:sz w:val="32"/>
    </w:rPr>
  </w:style>
  <w:style w:type="paragraph" w:styleId="5">
    <w:name w:val="Body Text Indent"/>
    <w:basedOn w:val="1"/>
    <w:next w:val="6"/>
    <w:unhideWhenUsed/>
    <w:qFormat/>
    <w:uiPriority w:val="0"/>
    <w:pPr>
      <w:spacing w:after="120"/>
      <w:ind w:left="420" w:leftChars="200"/>
    </w:pPr>
  </w:style>
  <w:style w:type="paragraph" w:styleId="6">
    <w:name w:val="envelope return"/>
    <w:basedOn w:val="1"/>
    <w:qFormat/>
    <w:uiPriority w:val="99"/>
    <w:pPr>
      <w:snapToGrid w:val="0"/>
    </w:pPr>
    <w:rPr>
      <w:rFonts w:ascii="Arial" w:hAnsi="Arial" w:cs="Arial"/>
      <w:szCs w:val="24"/>
    </w:rPr>
  </w:style>
  <w:style w:type="paragraph" w:styleId="7">
    <w:name w:val="footer"/>
    <w:basedOn w:val="1"/>
    <w:unhideWhenUsed/>
    <w:qFormat/>
    <w:uiPriority w:val="99"/>
    <w:pPr>
      <w:tabs>
        <w:tab w:val="center" w:pos="4153"/>
        <w:tab w:val="right" w:pos="8306"/>
      </w:tabs>
      <w:snapToGrid w:val="0"/>
      <w:spacing w:beforeLines="0" w:afterLines="0"/>
      <w:jc w:val="left"/>
    </w:pPr>
    <w:rPr>
      <w:rFonts w:hint="eastAsia"/>
      <w:sz w:val="18"/>
      <w:szCs w:val="18"/>
    </w:rPr>
  </w:style>
  <w:style w:type="paragraph" w:styleId="8">
    <w:name w:val="List"/>
    <w:basedOn w:val="1"/>
    <w:qFormat/>
    <w:uiPriority w:val="0"/>
    <w:pPr>
      <w:ind w:left="200" w:hanging="200" w:hangingChars="200"/>
      <w:contextualSpacing/>
    </w:pPr>
  </w:style>
  <w:style w:type="paragraph" w:styleId="9">
    <w:name w:val="Body Text First Indent 2"/>
    <w:basedOn w:val="5"/>
    <w:next w:val="10"/>
    <w:qFormat/>
    <w:uiPriority w:val="0"/>
    <w:pPr>
      <w:ind w:left="0" w:leftChars="0" w:firstLine="420"/>
    </w:pPr>
    <w:rPr>
      <w:rFonts w:ascii="Times New Roman" w:hAnsi="Times New Roman"/>
      <w:szCs w:val="24"/>
    </w:rPr>
  </w:style>
  <w:style w:type="paragraph" w:customStyle="1" w:styleId="10">
    <w:name w:val="表格文字"/>
    <w:basedOn w:val="8"/>
    <w:next w:val="1"/>
    <w:qFormat/>
    <w:uiPriority w:val="0"/>
    <w:pPr>
      <w:ind w:firstLine="0" w:firstLineChars="0"/>
      <w:jc w:val="center"/>
    </w:pPr>
    <w:rPr>
      <w:szCs w:val="20"/>
    </w:rPr>
  </w:style>
  <w:style w:type="paragraph" w:customStyle="1" w:styleId="13">
    <w:name w:val="正文文本2"/>
    <w:basedOn w:val="1"/>
    <w:unhideWhenUsed/>
    <w:qFormat/>
    <w:uiPriority w:val="0"/>
    <w:pPr>
      <w:autoSpaceDE w:val="0"/>
      <w:autoSpaceDN w:val="0"/>
      <w:spacing w:beforeLines="0" w:afterLines="0"/>
      <w:jc w:val="left"/>
    </w:pPr>
    <w:rPr>
      <w:rFonts w:hint="eastAsia" w:ascii="宋体" w:hAnsi="宋体" w:eastAsia="宋体"/>
      <w:sz w:val="20"/>
      <w:szCs w:val="21"/>
      <w:lang w:val="zh-CN"/>
    </w:rPr>
  </w:style>
  <w:style w:type="paragraph" w:customStyle="1" w:styleId="14">
    <w:name w:val="Normal_1"/>
    <w:autoRedefine/>
    <w:qFormat/>
    <w:uiPriority w:val="0"/>
    <w:pPr>
      <w:widowControl w:val="0"/>
      <w:jc w:val="both"/>
    </w:pPr>
    <w:rPr>
      <w:rFonts w:ascii="Times New Roman" w:hAnsi="Times New Roman" w:eastAsia="宋体" w:cs="Times New Roman"/>
      <w:lang w:val="en-US" w:eastAsia="zh-CN" w:bidi="ar-SA"/>
    </w:rPr>
  </w:style>
  <w:style w:type="paragraph" w:styleId="15">
    <w:name w:val="List Paragraph"/>
    <w:basedOn w:val="1"/>
    <w:qFormat/>
    <w:uiPriority w:val="34"/>
    <w:pPr>
      <w:ind w:firstLine="420" w:firstLineChars="200"/>
    </w:pPr>
  </w:style>
  <w:style w:type="character" w:customStyle="1" w:styleId="16">
    <w:name w:val="font41"/>
    <w:basedOn w:val="12"/>
    <w:qFormat/>
    <w:uiPriority w:val="0"/>
    <w:rPr>
      <w:rFonts w:ascii="等线" w:hAnsi="等线" w:eastAsia="等线" w:cs="等线"/>
      <w:b/>
      <w:bCs/>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12903</Words>
  <Characters>15935</Characters>
  <Lines>0</Lines>
  <Paragraphs>0</Paragraphs>
  <TotalTime>1</TotalTime>
  <ScaleCrop>false</ScaleCrop>
  <LinksUpToDate>false</LinksUpToDate>
  <CharactersWithSpaces>16166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2026-06-12T06:39:00Z</dcterms:created>
  <dc:creator>北辰</dc:creator>
  <cp:lastModifiedBy>WPS_1555299874</cp:lastModifiedBy>
  <dcterms:modified xsi:type="dcterms:W3CDTF">2026-08-26T12:53:32Z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39B085A9EFEE4A77B5C86FD0F25F73CD_11</vt:lpwstr>
  </property>
  <property fmtid="{D5CDD505-2E9C-101B-9397-08002B2CF9AE}" pid="4" name="KSOTemplateDocerSaveRecord">
    <vt:lpwstr>eyJoZGlkIjoiNGY1Y2NlMmI1YTNhNTE1ODJiZGVlZDZiOTQ2M2NjNTYiLCJ1c2VySWQiOiI1MjY2MjIyMzMifQ==</vt:lpwstr>
  </property>
</Properties>
</file>