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20293">
      <w:pPr>
        <w:keepNext w:val="0"/>
        <w:keepLines w:val="0"/>
        <w:pageBreakBefore w:val="0"/>
        <w:widowControl/>
        <w:shd w:val="clear"/>
        <w:kinsoku/>
        <w:wordWrap/>
        <w:overflowPunct/>
        <w:topLinePunct w:val="0"/>
        <w:bidi w:val="0"/>
        <w:adjustRightInd w:val="0"/>
        <w:snapToGrid w:val="0"/>
        <w:spacing w:before="0" w:beforeLines="-2147483648" w:after="0" w:afterLines="-2147483648" w:line="400" w:lineRule="exact"/>
        <w:jc w:val="left"/>
        <w:textAlignment w:val="auto"/>
        <w:outlineLvl w:val="1"/>
        <w:rPr>
          <w:rFonts w:hint="default" w:ascii="宋体" w:hAnsi="宋体" w:eastAsia="宋体" w:cs="宋体"/>
          <w:b/>
          <w:color w:val="auto"/>
          <w:kern w:val="2"/>
          <w:sz w:val="28"/>
          <w:szCs w:val="28"/>
          <w:highlight w:val="none"/>
          <w:lang w:val="en-US" w:bidi="en-US"/>
        </w:rPr>
      </w:pPr>
      <w:bookmarkStart w:id="0" w:name="_GoBack"/>
      <w:bookmarkEnd w:id="0"/>
      <w:r>
        <w:rPr>
          <w:rFonts w:hint="eastAsia" w:ascii="宋体" w:hAnsi="宋体" w:eastAsia="宋体" w:cs="宋体"/>
          <w:b/>
          <w:color w:val="auto"/>
          <w:kern w:val="2"/>
          <w:sz w:val="28"/>
          <w:szCs w:val="28"/>
          <w:highlight w:val="none"/>
          <w:lang w:val="en-US" w:bidi="en-US"/>
        </w:rPr>
        <w:t>招标公告附件</w:t>
      </w:r>
    </w:p>
    <w:tbl>
      <w:tblPr>
        <w:tblStyle w:val="9"/>
        <w:tblW w:w="49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7"/>
        <w:gridCol w:w="1186"/>
        <w:gridCol w:w="3522"/>
        <w:gridCol w:w="711"/>
        <w:gridCol w:w="804"/>
        <w:gridCol w:w="1079"/>
        <w:gridCol w:w="1084"/>
        <w:gridCol w:w="1067"/>
        <w:gridCol w:w="1585"/>
        <w:gridCol w:w="1643"/>
      </w:tblGrid>
      <w:tr w14:paraId="5246F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518" w:type="pct"/>
            <w:vAlign w:val="center"/>
          </w:tcPr>
          <w:p w14:paraId="42D8972A">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项目名称</w:t>
            </w:r>
          </w:p>
        </w:tc>
        <w:tc>
          <w:tcPr>
            <w:tcW w:w="419" w:type="pct"/>
            <w:vAlign w:val="center"/>
          </w:tcPr>
          <w:p w14:paraId="553F669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物资名称</w:t>
            </w:r>
          </w:p>
        </w:tc>
        <w:tc>
          <w:tcPr>
            <w:tcW w:w="1244" w:type="pct"/>
            <w:vAlign w:val="center"/>
          </w:tcPr>
          <w:p w14:paraId="1BC55806">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主要技术要求</w:t>
            </w:r>
          </w:p>
        </w:tc>
        <w:tc>
          <w:tcPr>
            <w:tcW w:w="251" w:type="pct"/>
            <w:vAlign w:val="center"/>
          </w:tcPr>
          <w:p w14:paraId="352E59CA">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单位</w:t>
            </w:r>
          </w:p>
        </w:tc>
        <w:tc>
          <w:tcPr>
            <w:tcW w:w="284" w:type="pct"/>
            <w:vAlign w:val="center"/>
          </w:tcPr>
          <w:p w14:paraId="18241168">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数量</w:t>
            </w:r>
          </w:p>
        </w:tc>
        <w:tc>
          <w:tcPr>
            <w:tcW w:w="381" w:type="pct"/>
            <w:vAlign w:val="center"/>
          </w:tcPr>
          <w:p w14:paraId="66441283">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交货日期</w:t>
            </w:r>
          </w:p>
        </w:tc>
        <w:tc>
          <w:tcPr>
            <w:tcW w:w="383" w:type="pct"/>
            <w:vAlign w:val="center"/>
          </w:tcPr>
          <w:p w14:paraId="71932ACB">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质保期（不低于）</w:t>
            </w:r>
          </w:p>
        </w:tc>
        <w:tc>
          <w:tcPr>
            <w:tcW w:w="377" w:type="pct"/>
            <w:vAlign w:val="center"/>
          </w:tcPr>
          <w:p w14:paraId="2A164737">
            <w:pPr>
              <w:widowControl/>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交货地点</w:t>
            </w:r>
          </w:p>
        </w:tc>
        <w:tc>
          <w:tcPr>
            <w:tcW w:w="560" w:type="pct"/>
            <w:vAlign w:val="center"/>
          </w:tcPr>
          <w:p w14:paraId="55D3E0DF">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专用资格要求</w:t>
            </w:r>
          </w:p>
        </w:tc>
        <w:tc>
          <w:tcPr>
            <w:tcW w:w="580" w:type="pct"/>
            <w:vAlign w:val="center"/>
          </w:tcPr>
          <w:p w14:paraId="2EE17ECE">
            <w:pPr>
              <w:widowControl/>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专用业绩要求</w:t>
            </w:r>
          </w:p>
        </w:tc>
      </w:tr>
      <w:tr w14:paraId="7A92B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518" w:type="pct"/>
            <w:vMerge w:val="restart"/>
            <w:vAlign w:val="center"/>
          </w:tcPr>
          <w:p w14:paraId="1D65DE71">
            <w:pPr>
              <w:widowControl/>
              <w:jc w:val="center"/>
              <w:rPr>
                <w:rFonts w:hint="eastAsia" w:ascii="宋体" w:hAnsi="宋体" w:eastAsia="宋体" w:cs="宋体"/>
                <w:color w:val="auto"/>
                <w:kern w:val="0"/>
                <w:sz w:val="24"/>
                <w:szCs w:val="24"/>
                <w:highlight w:val="none"/>
              </w:rPr>
            </w:pPr>
            <w:r>
              <w:rPr>
                <w:rFonts w:hint="eastAsia" w:ascii="宋体" w:hAnsi="宋体" w:eastAsia="宋体" w:cs="宋体"/>
                <w:i w:val="0"/>
                <w:iCs w:val="0"/>
                <w:color w:val="auto"/>
                <w:kern w:val="0"/>
                <w:sz w:val="24"/>
                <w:szCs w:val="24"/>
                <w:highlight w:val="none"/>
                <w:u w:val="none"/>
                <w:lang w:val="en-US" w:eastAsia="zh-CN" w:bidi="ar"/>
              </w:rPr>
              <w:t>固定式无人巡检组件等采购项目</w:t>
            </w:r>
          </w:p>
        </w:tc>
        <w:tc>
          <w:tcPr>
            <w:tcW w:w="419" w:type="pct"/>
            <w:vAlign w:val="center"/>
          </w:tcPr>
          <w:p w14:paraId="625C656A">
            <w:pPr>
              <w:widowControl/>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固定式无人巡检组件</w:t>
            </w:r>
          </w:p>
        </w:tc>
        <w:tc>
          <w:tcPr>
            <w:tcW w:w="1244" w:type="pct"/>
            <w:vAlign w:val="center"/>
          </w:tcPr>
          <w:p w14:paraId="2F8108F8">
            <w:pPr>
              <w:widowControl/>
              <w:jc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b w:val="0"/>
                <w:bCs w:val="0"/>
                <w:i w:val="0"/>
                <w:iCs w:val="0"/>
                <w:snapToGrid w:val="0"/>
                <w:color w:val="auto"/>
                <w:kern w:val="0"/>
                <w:sz w:val="24"/>
                <w:szCs w:val="24"/>
                <w:highlight w:val="none"/>
                <w:lang w:val="en-US" w:eastAsia="zh-CN" w:bidi="ar-SA"/>
              </w:rPr>
              <w:t>最大飞行时长≥45min；最大水平飞行速度≥23m/s；最大飞行半径≥7km；最大可承受风速≥10m/s；电池容量≥10000mAh；智能航空站充电功率≤800W。</w:t>
            </w:r>
          </w:p>
        </w:tc>
        <w:tc>
          <w:tcPr>
            <w:tcW w:w="251" w:type="pct"/>
            <w:shd w:val="clear" w:color="000000" w:fill="FFFFFF"/>
            <w:vAlign w:val="center"/>
          </w:tcPr>
          <w:p w14:paraId="1AB31C04">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套</w:t>
            </w:r>
          </w:p>
        </w:tc>
        <w:tc>
          <w:tcPr>
            <w:tcW w:w="284" w:type="pct"/>
            <w:shd w:val="clear" w:color="000000" w:fill="FFFFFF"/>
            <w:vAlign w:val="center"/>
          </w:tcPr>
          <w:p w14:paraId="0083F57A">
            <w:pPr>
              <w:widowControl/>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w:t>
            </w:r>
          </w:p>
        </w:tc>
        <w:tc>
          <w:tcPr>
            <w:tcW w:w="381" w:type="pct"/>
            <w:vMerge w:val="restart"/>
            <w:vAlign w:val="center"/>
          </w:tcPr>
          <w:p w14:paraId="4AC409E1">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接到供货通知后</w:t>
            </w:r>
            <w:r>
              <w:rPr>
                <w:rFonts w:hint="eastAsia" w:ascii="宋体" w:hAnsi="宋体" w:eastAsia="宋体" w:cs="宋体"/>
                <w:color w:val="auto"/>
                <w:kern w:val="0"/>
                <w:sz w:val="24"/>
                <w:szCs w:val="24"/>
                <w:highlight w:val="none"/>
                <w:u w:val="single"/>
              </w:rPr>
              <w:t>60</w:t>
            </w:r>
            <w:r>
              <w:rPr>
                <w:rFonts w:hint="eastAsia" w:ascii="宋体" w:hAnsi="宋体" w:eastAsia="宋体" w:cs="宋体"/>
                <w:color w:val="auto"/>
                <w:kern w:val="0"/>
                <w:sz w:val="24"/>
                <w:szCs w:val="24"/>
                <w:highlight w:val="none"/>
              </w:rPr>
              <w:t>日内</w:t>
            </w:r>
          </w:p>
        </w:tc>
        <w:tc>
          <w:tcPr>
            <w:tcW w:w="383" w:type="pct"/>
            <w:vMerge w:val="restart"/>
            <w:vAlign w:val="center"/>
          </w:tcPr>
          <w:p w14:paraId="1BB1C599">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36个月</w:t>
            </w:r>
          </w:p>
        </w:tc>
        <w:tc>
          <w:tcPr>
            <w:tcW w:w="377" w:type="pct"/>
            <w:vMerge w:val="restart"/>
            <w:vAlign w:val="center"/>
          </w:tcPr>
          <w:p w14:paraId="7C1BEC17">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买方指定地点地面交货</w:t>
            </w:r>
          </w:p>
        </w:tc>
        <w:tc>
          <w:tcPr>
            <w:tcW w:w="560" w:type="pct"/>
            <w:vMerge w:val="restart"/>
            <w:vAlign w:val="center"/>
          </w:tcPr>
          <w:p w14:paraId="2C3DF25F">
            <w:pPr>
              <w:widowControl/>
              <w:numPr>
                <w:ilvl w:val="0"/>
                <w:numId w:val="1"/>
              </w:numPr>
              <w:snapToGrid w:val="0"/>
              <w:jc w:val="left"/>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具备《民用无人驾驶航空器运营合格证》</w:t>
            </w:r>
            <w:r>
              <w:rPr>
                <w:rFonts w:hint="eastAsia" w:ascii="宋体" w:hAnsi="宋体" w:eastAsia="宋体" w:cs="宋体"/>
                <w:color w:val="auto"/>
                <w:kern w:val="0"/>
                <w:sz w:val="24"/>
                <w:szCs w:val="24"/>
                <w:highlight w:val="none"/>
              </w:rPr>
              <w:t>。</w:t>
            </w:r>
          </w:p>
          <w:p w14:paraId="2C9B5208">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2、提供国家认可的第三方检测机构出具的有效的检测报告。</w:t>
            </w:r>
          </w:p>
        </w:tc>
        <w:tc>
          <w:tcPr>
            <w:tcW w:w="580" w:type="pct"/>
            <w:vMerge w:val="restart"/>
            <w:vAlign w:val="center"/>
          </w:tcPr>
          <w:p w14:paraId="41D47711">
            <w:pPr>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2023年1月1日至2025年12月31日，完成过</w:t>
            </w:r>
            <w:r>
              <w:rPr>
                <w:rFonts w:hint="eastAsia" w:ascii="宋体" w:hAnsi="宋体" w:eastAsia="宋体" w:cs="宋体"/>
                <w:color w:val="auto"/>
                <w:kern w:val="0"/>
                <w:sz w:val="24"/>
                <w:szCs w:val="24"/>
                <w:highlight w:val="none"/>
                <w:lang w:val="en-US" w:eastAsia="zh-CN"/>
              </w:rPr>
              <w:t>无人机或自动机场</w:t>
            </w:r>
            <w:r>
              <w:rPr>
                <w:rFonts w:hint="eastAsia" w:ascii="宋体" w:hAnsi="宋体" w:eastAsia="宋体" w:cs="宋体"/>
                <w:color w:val="auto"/>
                <w:kern w:val="0"/>
                <w:sz w:val="24"/>
                <w:szCs w:val="24"/>
                <w:highlight w:val="none"/>
              </w:rPr>
              <w:t>等销售业绩，累计金额不低于</w:t>
            </w:r>
            <w:r>
              <w:rPr>
                <w:rFonts w:hint="eastAsia" w:ascii="宋体" w:hAnsi="宋体" w:eastAsia="宋体" w:cs="宋体"/>
                <w:color w:val="auto"/>
                <w:kern w:val="0"/>
                <w:sz w:val="24"/>
                <w:szCs w:val="24"/>
                <w:highlight w:val="none"/>
                <w:lang w:val="en-US" w:eastAsia="zh-CN"/>
              </w:rPr>
              <w:t>300</w:t>
            </w:r>
            <w:r>
              <w:rPr>
                <w:rFonts w:hint="eastAsia" w:ascii="宋体" w:hAnsi="宋体" w:eastAsia="宋体" w:cs="宋体"/>
                <w:color w:val="auto"/>
                <w:kern w:val="0"/>
                <w:sz w:val="24"/>
                <w:szCs w:val="24"/>
                <w:highlight w:val="none"/>
              </w:rPr>
              <w:t>万元。注:业绩必须提供对应的合同复印件、发票和相应查验截图。</w:t>
            </w:r>
          </w:p>
        </w:tc>
      </w:tr>
      <w:tr w14:paraId="1931B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518" w:type="pct"/>
            <w:vMerge w:val="continue"/>
            <w:vAlign w:val="center"/>
          </w:tcPr>
          <w:p w14:paraId="58C713A5">
            <w:pPr>
              <w:widowControl/>
              <w:jc w:val="center"/>
              <w:rPr>
                <w:rFonts w:hint="eastAsia" w:ascii="宋体" w:hAnsi="宋体" w:eastAsia="宋体" w:cs="宋体"/>
                <w:i w:val="0"/>
                <w:iCs w:val="0"/>
                <w:color w:val="auto"/>
                <w:kern w:val="0"/>
                <w:sz w:val="24"/>
                <w:szCs w:val="24"/>
                <w:highlight w:val="none"/>
                <w:u w:val="none"/>
                <w:lang w:val="en-US" w:eastAsia="zh-CN" w:bidi="ar"/>
              </w:rPr>
            </w:pPr>
          </w:p>
        </w:tc>
        <w:tc>
          <w:tcPr>
            <w:tcW w:w="419" w:type="pct"/>
            <w:vAlign w:val="center"/>
          </w:tcPr>
          <w:p w14:paraId="20062790">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高频数字成像主机</w:t>
            </w:r>
          </w:p>
        </w:tc>
        <w:tc>
          <w:tcPr>
            <w:tcW w:w="1244" w:type="pct"/>
            <w:vAlign w:val="center"/>
          </w:tcPr>
          <w:p w14:paraId="16AF1258">
            <w:pPr>
              <w:tabs>
                <w:tab w:val="left" w:pos="2676"/>
              </w:tabs>
              <w:bidi w:val="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工作方式：脉冲式；射线出线角度控制：电动；射线出线控方式：485通信；阳极最大功耗≥160W；重量（含电池）≤8.9kg；主机待机≥12h。</w:t>
            </w:r>
          </w:p>
        </w:tc>
        <w:tc>
          <w:tcPr>
            <w:tcW w:w="251" w:type="pct"/>
            <w:shd w:val="clear" w:color="000000" w:fill="FFFFFF"/>
            <w:vAlign w:val="center"/>
          </w:tcPr>
          <w:p w14:paraId="55632206">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套</w:t>
            </w:r>
          </w:p>
        </w:tc>
        <w:tc>
          <w:tcPr>
            <w:tcW w:w="284" w:type="pct"/>
            <w:shd w:val="clear" w:color="000000" w:fill="FFFFFF"/>
            <w:vAlign w:val="center"/>
          </w:tcPr>
          <w:p w14:paraId="1B859A2F">
            <w:pPr>
              <w:widowControl/>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381" w:type="pct"/>
            <w:vMerge w:val="continue"/>
            <w:vAlign w:val="center"/>
          </w:tcPr>
          <w:p w14:paraId="2CC2FDF8">
            <w:pPr>
              <w:widowControl/>
              <w:jc w:val="center"/>
              <w:rPr>
                <w:rFonts w:hint="eastAsia" w:ascii="宋体" w:hAnsi="宋体" w:eastAsia="宋体" w:cs="宋体"/>
                <w:color w:val="auto"/>
                <w:kern w:val="0"/>
                <w:sz w:val="24"/>
                <w:szCs w:val="24"/>
                <w:highlight w:val="none"/>
              </w:rPr>
            </w:pPr>
          </w:p>
        </w:tc>
        <w:tc>
          <w:tcPr>
            <w:tcW w:w="383" w:type="pct"/>
            <w:vMerge w:val="continue"/>
            <w:vAlign w:val="center"/>
          </w:tcPr>
          <w:p w14:paraId="0BC5226D">
            <w:pPr>
              <w:jc w:val="center"/>
              <w:rPr>
                <w:rFonts w:hint="eastAsia" w:ascii="宋体" w:hAnsi="宋体" w:eastAsia="宋体" w:cs="宋体"/>
                <w:color w:val="auto"/>
                <w:kern w:val="0"/>
                <w:sz w:val="24"/>
                <w:szCs w:val="24"/>
                <w:highlight w:val="none"/>
              </w:rPr>
            </w:pPr>
          </w:p>
        </w:tc>
        <w:tc>
          <w:tcPr>
            <w:tcW w:w="377" w:type="pct"/>
            <w:vMerge w:val="continue"/>
            <w:vAlign w:val="center"/>
          </w:tcPr>
          <w:p w14:paraId="1F14C77E">
            <w:pPr>
              <w:jc w:val="center"/>
              <w:rPr>
                <w:rFonts w:hint="eastAsia" w:ascii="宋体" w:hAnsi="宋体" w:eastAsia="宋体" w:cs="宋体"/>
                <w:color w:val="auto"/>
                <w:kern w:val="0"/>
                <w:sz w:val="24"/>
                <w:szCs w:val="24"/>
                <w:highlight w:val="none"/>
              </w:rPr>
            </w:pPr>
          </w:p>
        </w:tc>
        <w:tc>
          <w:tcPr>
            <w:tcW w:w="560" w:type="pct"/>
            <w:vMerge w:val="continue"/>
            <w:vAlign w:val="center"/>
          </w:tcPr>
          <w:p w14:paraId="611C759F">
            <w:pPr>
              <w:jc w:val="center"/>
              <w:rPr>
                <w:rFonts w:hint="eastAsia" w:ascii="宋体" w:hAnsi="宋体" w:eastAsia="宋体" w:cs="宋体"/>
                <w:color w:val="auto"/>
                <w:kern w:val="0"/>
                <w:sz w:val="24"/>
                <w:szCs w:val="24"/>
                <w:highlight w:val="none"/>
              </w:rPr>
            </w:pPr>
          </w:p>
        </w:tc>
        <w:tc>
          <w:tcPr>
            <w:tcW w:w="580" w:type="pct"/>
            <w:vMerge w:val="continue"/>
            <w:vAlign w:val="center"/>
          </w:tcPr>
          <w:p w14:paraId="542C34A0">
            <w:pPr>
              <w:jc w:val="center"/>
              <w:rPr>
                <w:rFonts w:hint="eastAsia" w:ascii="宋体" w:hAnsi="宋体" w:eastAsia="宋体" w:cs="宋体"/>
                <w:color w:val="auto"/>
                <w:kern w:val="0"/>
                <w:sz w:val="24"/>
                <w:szCs w:val="24"/>
                <w:highlight w:val="none"/>
              </w:rPr>
            </w:pPr>
          </w:p>
        </w:tc>
      </w:tr>
      <w:tr w14:paraId="0BDFF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518" w:type="pct"/>
            <w:vMerge w:val="continue"/>
            <w:vAlign w:val="center"/>
          </w:tcPr>
          <w:p w14:paraId="0203AFE9">
            <w:pPr>
              <w:widowControl/>
              <w:jc w:val="center"/>
              <w:rPr>
                <w:rFonts w:hint="eastAsia" w:ascii="宋体" w:hAnsi="宋体" w:eastAsia="宋体" w:cs="宋体"/>
                <w:i w:val="0"/>
                <w:iCs w:val="0"/>
                <w:color w:val="auto"/>
                <w:kern w:val="0"/>
                <w:sz w:val="24"/>
                <w:szCs w:val="24"/>
                <w:highlight w:val="none"/>
                <w:u w:val="none"/>
                <w:lang w:val="en-US" w:eastAsia="zh-CN" w:bidi="ar"/>
              </w:rPr>
            </w:pPr>
          </w:p>
        </w:tc>
        <w:tc>
          <w:tcPr>
            <w:tcW w:w="419" w:type="pct"/>
            <w:vAlign w:val="center"/>
          </w:tcPr>
          <w:p w14:paraId="7FA48D84">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无线数字平板成像模块</w:t>
            </w:r>
          </w:p>
        </w:tc>
        <w:tc>
          <w:tcPr>
            <w:tcW w:w="1244" w:type="pct"/>
            <w:vAlign w:val="center"/>
          </w:tcPr>
          <w:p w14:paraId="1324B620">
            <w:pPr>
              <w:widowControl/>
              <w:jc w:val="both"/>
              <w:rPr>
                <w:rFonts w:hint="eastAsia" w:ascii="宋体" w:hAnsi="宋体" w:eastAsia="宋体" w:cs="宋体"/>
                <w:b w:val="0"/>
                <w:bCs w:val="0"/>
                <w:i w:val="0"/>
                <w:iCs w:val="0"/>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成像面积≥14×17英寸；像素间距≤139μm；空间分辨率≥3.6LP/mm；重量（含电池）≤3.5kg；待机时长：单块电池待机≥8小时，配2块。</w:t>
            </w:r>
          </w:p>
        </w:tc>
        <w:tc>
          <w:tcPr>
            <w:tcW w:w="251" w:type="pct"/>
            <w:shd w:val="clear" w:color="000000" w:fill="FFFFFF"/>
            <w:vAlign w:val="center"/>
          </w:tcPr>
          <w:p w14:paraId="798CE2A3">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套</w:t>
            </w:r>
          </w:p>
        </w:tc>
        <w:tc>
          <w:tcPr>
            <w:tcW w:w="284" w:type="pct"/>
            <w:shd w:val="clear" w:color="000000" w:fill="FFFFFF"/>
            <w:vAlign w:val="center"/>
          </w:tcPr>
          <w:p w14:paraId="6BDC7A2D">
            <w:pPr>
              <w:widowControl/>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381" w:type="pct"/>
            <w:vMerge w:val="continue"/>
            <w:vAlign w:val="center"/>
          </w:tcPr>
          <w:p w14:paraId="405504DE">
            <w:pPr>
              <w:widowControl/>
              <w:jc w:val="center"/>
              <w:rPr>
                <w:rFonts w:hint="eastAsia" w:ascii="宋体" w:hAnsi="宋体" w:eastAsia="宋体" w:cs="宋体"/>
                <w:color w:val="auto"/>
                <w:kern w:val="0"/>
                <w:sz w:val="24"/>
                <w:szCs w:val="24"/>
                <w:highlight w:val="none"/>
              </w:rPr>
            </w:pPr>
          </w:p>
        </w:tc>
        <w:tc>
          <w:tcPr>
            <w:tcW w:w="383" w:type="pct"/>
            <w:vMerge w:val="continue"/>
            <w:vAlign w:val="center"/>
          </w:tcPr>
          <w:p w14:paraId="48196C34">
            <w:pPr>
              <w:jc w:val="center"/>
              <w:rPr>
                <w:rFonts w:hint="eastAsia" w:ascii="宋体" w:hAnsi="宋体" w:eastAsia="宋体" w:cs="宋体"/>
                <w:color w:val="auto"/>
                <w:kern w:val="0"/>
                <w:sz w:val="24"/>
                <w:szCs w:val="24"/>
                <w:highlight w:val="none"/>
              </w:rPr>
            </w:pPr>
          </w:p>
        </w:tc>
        <w:tc>
          <w:tcPr>
            <w:tcW w:w="377" w:type="pct"/>
            <w:vMerge w:val="continue"/>
            <w:vAlign w:val="center"/>
          </w:tcPr>
          <w:p w14:paraId="51BA8C96">
            <w:pPr>
              <w:jc w:val="center"/>
              <w:rPr>
                <w:rFonts w:hint="eastAsia" w:ascii="宋体" w:hAnsi="宋体" w:eastAsia="宋体" w:cs="宋体"/>
                <w:color w:val="auto"/>
                <w:kern w:val="0"/>
                <w:sz w:val="24"/>
                <w:szCs w:val="24"/>
                <w:highlight w:val="none"/>
              </w:rPr>
            </w:pPr>
          </w:p>
        </w:tc>
        <w:tc>
          <w:tcPr>
            <w:tcW w:w="560" w:type="pct"/>
            <w:vMerge w:val="continue"/>
            <w:vAlign w:val="center"/>
          </w:tcPr>
          <w:p w14:paraId="4D4F48DE">
            <w:pPr>
              <w:jc w:val="center"/>
              <w:rPr>
                <w:rFonts w:hint="eastAsia" w:ascii="宋体" w:hAnsi="宋体" w:eastAsia="宋体" w:cs="宋体"/>
                <w:color w:val="auto"/>
                <w:kern w:val="0"/>
                <w:sz w:val="24"/>
                <w:szCs w:val="24"/>
                <w:highlight w:val="none"/>
              </w:rPr>
            </w:pPr>
          </w:p>
        </w:tc>
        <w:tc>
          <w:tcPr>
            <w:tcW w:w="580" w:type="pct"/>
            <w:vMerge w:val="continue"/>
            <w:vAlign w:val="center"/>
          </w:tcPr>
          <w:p w14:paraId="3C38C8E4">
            <w:pPr>
              <w:jc w:val="center"/>
              <w:rPr>
                <w:rFonts w:hint="eastAsia" w:ascii="宋体" w:hAnsi="宋体" w:eastAsia="宋体" w:cs="宋体"/>
                <w:color w:val="auto"/>
                <w:kern w:val="0"/>
                <w:sz w:val="24"/>
                <w:szCs w:val="24"/>
                <w:highlight w:val="none"/>
              </w:rPr>
            </w:pPr>
          </w:p>
        </w:tc>
      </w:tr>
      <w:tr w14:paraId="326AC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518" w:type="pct"/>
            <w:vMerge w:val="continue"/>
            <w:vAlign w:val="center"/>
          </w:tcPr>
          <w:p w14:paraId="407C3894">
            <w:pPr>
              <w:widowControl/>
              <w:jc w:val="center"/>
              <w:rPr>
                <w:rFonts w:hint="eastAsia" w:ascii="宋体" w:hAnsi="宋体" w:eastAsia="宋体" w:cs="宋体"/>
                <w:i w:val="0"/>
                <w:iCs w:val="0"/>
                <w:color w:val="auto"/>
                <w:kern w:val="0"/>
                <w:sz w:val="24"/>
                <w:szCs w:val="24"/>
                <w:highlight w:val="none"/>
                <w:u w:val="none"/>
                <w:lang w:val="en-US" w:eastAsia="zh-CN" w:bidi="ar"/>
              </w:rPr>
            </w:pPr>
          </w:p>
        </w:tc>
        <w:tc>
          <w:tcPr>
            <w:tcW w:w="419" w:type="pct"/>
            <w:vAlign w:val="center"/>
          </w:tcPr>
          <w:p w14:paraId="18CDEC0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双频无线数传控制单元</w:t>
            </w:r>
          </w:p>
        </w:tc>
        <w:tc>
          <w:tcPr>
            <w:tcW w:w="1244" w:type="pct"/>
            <w:vAlign w:val="center"/>
          </w:tcPr>
          <w:p w14:paraId="5BC7C7E6">
            <w:pPr>
              <w:widowControl/>
              <w:jc w:val="both"/>
              <w:rPr>
                <w:rFonts w:hint="eastAsia" w:ascii="宋体" w:hAnsi="宋体" w:eastAsia="宋体" w:cs="宋体"/>
                <w:b w:val="0"/>
                <w:bCs w:val="0"/>
                <w:i w:val="0"/>
                <w:iCs w:val="0"/>
                <w:snapToGrid w:val="0"/>
                <w:color w:val="auto"/>
                <w:kern w:val="0"/>
                <w:sz w:val="24"/>
                <w:szCs w:val="24"/>
                <w:highlight w:val="none"/>
                <w:lang w:val="en-US" w:eastAsia="zh-CN" w:bidi="ar-SA"/>
              </w:rPr>
            </w:pPr>
            <w:r>
              <w:rPr>
                <w:rFonts w:hint="eastAsia" w:ascii="宋体" w:hAnsi="宋体" w:eastAsia="宋体" w:cs="宋体"/>
                <w:b w:val="0"/>
                <w:bCs w:val="0"/>
                <w:i w:val="0"/>
                <w:iCs w:val="0"/>
                <w:snapToGrid w:val="0"/>
                <w:color w:val="auto"/>
                <w:kern w:val="0"/>
                <w:sz w:val="24"/>
                <w:szCs w:val="24"/>
                <w:highlight w:val="none"/>
                <w:lang w:val="en-US" w:eastAsia="zh-CN" w:bidi="ar-SA"/>
              </w:rPr>
              <w:t>无线传输：2.4G&amp;5.8G；传输距离≥200m；控制单元：RS232,网络通信；遥控器遥感数量≥2个；按键数量≥4个。</w:t>
            </w:r>
          </w:p>
        </w:tc>
        <w:tc>
          <w:tcPr>
            <w:tcW w:w="251" w:type="pct"/>
            <w:shd w:val="clear" w:color="000000" w:fill="FFFFFF"/>
            <w:vAlign w:val="center"/>
          </w:tcPr>
          <w:p w14:paraId="5DFDC0F3">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套</w:t>
            </w:r>
          </w:p>
        </w:tc>
        <w:tc>
          <w:tcPr>
            <w:tcW w:w="284" w:type="pct"/>
            <w:shd w:val="clear" w:color="000000" w:fill="FFFFFF"/>
            <w:vAlign w:val="center"/>
          </w:tcPr>
          <w:p w14:paraId="0A4ECD8A">
            <w:pPr>
              <w:widowControl/>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381" w:type="pct"/>
            <w:vMerge w:val="continue"/>
            <w:vAlign w:val="center"/>
          </w:tcPr>
          <w:p w14:paraId="7FB96D75">
            <w:pPr>
              <w:widowControl/>
              <w:jc w:val="center"/>
              <w:rPr>
                <w:rFonts w:hint="eastAsia" w:ascii="宋体" w:hAnsi="宋体" w:eastAsia="宋体" w:cs="宋体"/>
                <w:color w:val="auto"/>
                <w:kern w:val="0"/>
                <w:sz w:val="24"/>
                <w:szCs w:val="24"/>
                <w:highlight w:val="none"/>
              </w:rPr>
            </w:pPr>
          </w:p>
        </w:tc>
        <w:tc>
          <w:tcPr>
            <w:tcW w:w="383" w:type="pct"/>
            <w:vMerge w:val="continue"/>
            <w:vAlign w:val="center"/>
          </w:tcPr>
          <w:p w14:paraId="022C9119">
            <w:pPr>
              <w:jc w:val="center"/>
              <w:rPr>
                <w:rFonts w:hint="eastAsia" w:ascii="宋体" w:hAnsi="宋体" w:eastAsia="宋体" w:cs="宋体"/>
                <w:color w:val="auto"/>
                <w:kern w:val="0"/>
                <w:sz w:val="24"/>
                <w:szCs w:val="24"/>
                <w:highlight w:val="none"/>
              </w:rPr>
            </w:pPr>
          </w:p>
        </w:tc>
        <w:tc>
          <w:tcPr>
            <w:tcW w:w="377" w:type="pct"/>
            <w:vMerge w:val="continue"/>
            <w:vAlign w:val="center"/>
          </w:tcPr>
          <w:p w14:paraId="39929871">
            <w:pPr>
              <w:jc w:val="center"/>
              <w:rPr>
                <w:rFonts w:hint="eastAsia" w:ascii="宋体" w:hAnsi="宋体" w:eastAsia="宋体" w:cs="宋体"/>
                <w:color w:val="auto"/>
                <w:kern w:val="0"/>
                <w:sz w:val="24"/>
                <w:szCs w:val="24"/>
                <w:highlight w:val="none"/>
              </w:rPr>
            </w:pPr>
          </w:p>
        </w:tc>
        <w:tc>
          <w:tcPr>
            <w:tcW w:w="560" w:type="pct"/>
            <w:vMerge w:val="continue"/>
            <w:vAlign w:val="center"/>
          </w:tcPr>
          <w:p w14:paraId="5962CB98">
            <w:pPr>
              <w:jc w:val="center"/>
              <w:rPr>
                <w:rFonts w:hint="eastAsia" w:ascii="宋体" w:hAnsi="宋体" w:eastAsia="宋体" w:cs="宋体"/>
                <w:color w:val="auto"/>
                <w:kern w:val="0"/>
                <w:sz w:val="24"/>
                <w:szCs w:val="24"/>
                <w:highlight w:val="none"/>
              </w:rPr>
            </w:pPr>
          </w:p>
        </w:tc>
        <w:tc>
          <w:tcPr>
            <w:tcW w:w="580" w:type="pct"/>
            <w:vMerge w:val="continue"/>
            <w:vAlign w:val="center"/>
          </w:tcPr>
          <w:p w14:paraId="316DC34E">
            <w:pPr>
              <w:jc w:val="center"/>
              <w:rPr>
                <w:rFonts w:hint="eastAsia" w:ascii="宋体" w:hAnsi="宋体" w:eastAsia="宋体" w:cs="宋体"/>
                <w:color w:val="auto"/>
                <w:kern w:val="0"/>
                <w:sz w:val="24"/>
                <w:szCs w:val="24"/>
                <w:highlight w:val="none"/>
              </w:rPr>
            </w:pPr>
          </w:p>
        </w:tc>
      </w:tr>
      <w:tr w14:paraId="4B41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518" w:type="pct"/>
            <w:vMerge w:val="continue"/>
            <w:vAlign w:val="center"/>
          </w:tcPr>
          <w:p w14:paraId="587653DA">
            <w:pPr>
              <w:widowControl/>
              <w:jc w:val="center"/>
              <w:rPr>
                <w:rFonts w:hint="eastAsia" w:ascii="宋体" w:hAnsi="宋体" w:eastAsia="宋体" w:cs="宋体"/>
                <w:i w:val="0"/>
                <w:iCs w:val="0"/>
                <w:color w:val="auto"/>
                <w:kern w:val="0"/>
                <w:sz w:val="24"/>
                <w:szCs w:val="24"/>
                <w:highlight w:val="none"/>
                <w:u w:val="none"/>
                <w:lang w:val="en-US" w:eastAsia="zh-CN" w:bidi="ar"/>
              </w:rPr>
            </w:pPr>
          </w:p>
        </w:tc>
        <w:tc>
          <w:tcPr>
            <w:tcW w:w="419" w:type="pct"/>
            <w:vAlign w:val="center"/>
          </w:tcPr>
          <w:p w14:paraId="4469CF21">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机身结构单元</w:t>
            </w:r>
          </w:p>
        </w:tc>
        <w:tc>
          <w:tcPr>
            <w:tcW w:w="1244" w:type="pct"/>
            <w:vAlign w:val="center"/>
          </w:tcPr>
          <w:p w14:paraId="2CCA9EE3">
            <w:pPr>
              <w:widowControl/>
              <w:jc w:val="both"/>
              <w:rPr>
                <w:rFonts w:hint="eastAsia" w:ascii="宋体" w:hAnsi="宋体" w:eastAsia="宋体" w:cs="宋体"/>
                <w:b w:val="0"/>
                <w:bCs w:val="0"/>
                <w:i w:val="0"/>
                <w:iCs w:val="0"/>
                <w:snapToGrid w:val="0"/>
                <w:color w:val="auto"/>
                <w:kern w:val="0"/>
                <w:sz w:val="24"/>
                <w:szCs w:val="24"/>
                <w:highlight w:val="none"/>
                <w:lang w:val="en-US" w:eastAsia="zh-CN" w:bidi="ar-SA"/>
              </w:rPr>
            </w:pPr>
            <w:r>
              <w:rPr>
                <w:rFonts w:hint="eastAsia" w:ascii="宋体" w:hAnsi="宋体" w:eastAsia="宋体" w:cs="宋体"/>
                <w:b w:val="0"/>
                <w:bCs w:val="0"/>
                <w:i w:val="0"/>
                <w:iCs w:val="0"/>
                <w:snapToGrid w:val="0"/>
                <w:color w:val="auto"/>
                <w:kern w:val="0"/>
                <w:sz w:val="24"/>
                <w:szCs w:val="24"/>
                <w:highlight w:val="none"/>
                <w:lang w:val="en-US" w:eastAsia="zh-CN" w:bidi="ar-SA"/>
              </w:rPr>
              <w:t>锂电池供电，无需外接电源；尺寸≤Ø130×450；具备在220千伏变电站相邻间隔带电，测试线路有很强感应电情况下仪器不会受到干扰。</w:t>
            </w:r>
          </w:p>
        </w:tc>
        <w:tc>
          <w:tcPr>
            <w:tcW w:w="251" w:type="pct"/>
            <w:shd w:val="clear" w:color="000000" w:fill="FFFFFF"/>
            <w:vAlign w:val="center"/>
          </w:tcPr>
          <w:p w14:paraId="544D6419">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套</w:t>
            </w:r>
          </w:p>
        </w:tc>
        <w:tc>
          <w:tcPr>
            <w:tcW w:w="284" w:type="pct"/>
            <w:shd w:val="clear" w:color="000000" w:fill="FFFFFF"/>
            <w:vAlign w:val="center"/>
          </w:tcPr>
          <w:p w14:paraId="36D74BAA">
            <w:pPr>
              <w:widowControl/>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w:t>
            </w:r>
          </w:p>
        </w:tc>
        <w:tc>
          <w:tcPr>
            <w:tcW w:w="381" w:type="pct"/>
            <w:vMerge w:val="continue"/>
            <w:vAlign w:val="center"/>
          </w:tcPr>
          <w:p w14:paraId="7353B78D">
            <w:pPr>
              <w:widowControl/>
              <w:jc w:val="center"/>
              <w:rPr>
                <w:rFonts w:hint="eastAsia" w:ascii="宋体" w:hAnsi="宋体" w:eastAsia="宋体" w:cs="宋体"/>
                <w:color w:val="auto"/>
                <w:kern w:val="0"/>
                <w:sz w:val="24"/>
                <w:szCs w:val="24"/>
                <w:highlight w:val="none"/>
              </w:rPr>
            </w:pPr>
          </w:p>
        </w:tc>
        <w:tc>
          <w:tcPr>
            <w:tcW w:w="383" w:type="pct"/>
            <w:vMerge w:val="continue"/>
            <w:vAlign w:val="center"/>
          </w:tcPr>
          <w:p w14:paraId="73631C70">
            <w:pPr>
              <w:jc w:val="center"/>
              <w:rPr>
                <w:rFonts w:hint="eastAsia" w:ascii="宋体" w:hAnsi="宋体" w:eastAsia="宋体" w:cs="宋体"/>
                <w:color w:val="auto"/>
                <w:kern w:val="0"/>
                <w:sz w:val="24"/>
                <w:szCs w:val="24"/>
                <w:highlight w:val="none"/>
              </w:rPr>
            </w:pPr>
          </w:p>
        </w:tc>
        <w:tc>
          <w:tcPr>
            <w:tcW w:w="377" w:type="pct"/>
            <w:vMerge w:val="continue"/>
            <w:vAlign w:val="center"/>
          </w:tcPr>
          <w:p w14:paraId="6BCCB728">
            <w:pPr>
              <w:jc w:val="center"/>
              <w:rPr>
                <w:rFonts w:hint="eastAsia" w:ascii="宋体" w:hAnsi="宋体" w:eastAsia="宋体" w:cs="宋体"/>
                <w:color w:val="auto"/>
                <w:kern w:val="0"/>
                <w:sz w:val="24"/>
                <w:szCs w:val="24"/>
                <w:highlight w:val="none"/>
              </w:rPr>
            </w:pPr>
          </w:p>
        </w:tc>
        <w:tc>
          <w:tcPr>
            <w:tcW w:w="560" w:type="pct"/>
            <w:vMerge w:val="continue"/>
            <w:vAlign w:val="center"/>
          </w:tcPr>
          <w:p w14:paraId="6377EAB5">
            <w:pPr>
              <w:jc w:val="center"/>
              <w:rPr>
                <w:rFonts w:hint="eastAsia" w:ascii="宋体" w:hAnsi="宋体" w:eastAsia="宋体" w:cs="宋体"/>
                <w:color w:val="auto"/>
                <w:kern w:val="0"/>
                <w:sz w:val="24"/>
                <w:szCs w:val="24"/>
                <w:highlight w:val="none"/>
              </w:rPr>
            </w:pPr>
          </w:p>
        </w:tc>
        <w:tc>
          <w:tcPr>
            <w:tcW w:w="580" w:type="pct"/>
            <w:vMerge w:val="continue"/>
            <w:vAlign w:val="center"/>
          </w:tcPr>
          <w:p w14:paraId="7C26B49D">
            <w:pPr>
              <w:jc w:val="center"/>
              <w:rPr>
                <w:rFonts w:hint="eastAsia" w:ascii="宋体" w:hAnsi="宋体" w:eastAsia="宋体" w:cs="宋体"/>
                <w:color w:val="auto"/>
                <w:kern w:val="0"/>
                <w:sz w:val="24"/>
                <w:szCs w:val="24"/>
                <w:highlight w:val="none"/>
              </w:rPr>
            </w:pPr>
          </w:p>
        </w:tc>
      </w:tr>
      <w:tr w14:paraId="6A214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exact"/>
          <w:jc w:val="center"/>
        </w:trPr>
        <w:tc>
          <w:tcPr>
            <w:tcW w:w="518" w:type="pct"/>
            <w:vMerge w:val="continue"/>
            <w:vAlign w:val="center"/>
          </w:tcPr>
          <w:p w14:paraId="7194458F">
            <w:pPr>
              <w:widowControl/>
              <w:jc w:val="center"/>
              <w:rPr>
                <w:rFonts w:hint="eastAsia" w:ascii="宋体" w:hAnsi="宋体" w:eastAsia="宋体" w:cs="宋体"/>
                <w:i w:val="0"/>
                <w:iCs w:val="0"/>
                <w:color w:val="auto"/>
                <w:kern w:val="0"/>
                <w:sz w:val="24"/>
                <w:szCs w:val="24"/>
                <w:highlight w:val="none"/>
                <w:u w:val="none"/>
                <w:lang w:val="en-US" w:eastAsia="zh-CN" w:bidi="ar"/>
              </w:rPr>
            </w:pPr>
          </w:p>
        </w:tc>
        <w:tc>
          <w:tcPr>
            <w:tcW w:w="419" w:type="pct"/>
            <w:vAlign w:val="center"/>
          </w:tcPr>
          <w:p w14:paraId="2B7CC869">
            <w:pPr>
              <w:keepNext w:val="0"/>
              <w:keepLines w:val="0"/>
              <w:widowControl/>
              <w:suppressLineNumbers w:val="0"/>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无人机吊舱载荷</w:t>
            </w:r>
          </w:p>
        </w:tc>
        <w:tc>
          <w:tcPr>
            <w:tcW w:w="1244" w:type="pct"/>
            <w:vAlign w:val="center"/>
          </w:tcPr>
          <w:p w14:paraId="657A1D0B">
            <w:pPr>
              <w:widowControl/>
              <w:jc w:val="center"/>
              <w:rPr>
                <w:rFonts w:hint="eastAsia" w:ascii="宋体" w:hAnsi="宋体" w:eastAsia="宋体" w:cs="宋体"/>
                <w:b w:val="0"/>
                <w:bCs w:val="0"/>
                <w:i w:val="0"/>
                <w:iCs w:val="0"/>
                <w:snapToGrid w:val="0"/>
                <w:color w:val="auto"/>
                <w:kern w:val="0"/>
                <w:sz w:val="24"/>
                <w:szCs w:val="24"/>
                <w:highlight w:val="none"/>
                <w:lang w:val="en-US" w:eastAsia="zh-CN" w:bidi="ar-SA"/>
              </w:rPr>
            </w:pPr>
            <w:r>
              <w:rPr>
                <w:rFonts w:hint="eastAsia" w:ascii="宋体" w:hAnsi="宋体" w:eastAsia="宋体" w:cs="宋体"/>
                <w:b w:val="0"/>
                <w:bCs w:val="0"/>
                <w:i w:val="0"/>
                <w:iCs w:val="0"/>
                <w:snapToGrid w:val="0"/>
                <w:color w:val="auto"/>
                <w:kern w:val="0"/>
                <w:sz w:val="24"/>
                <w:szCs w:val="24"/>
                <w:highlight w:val="none"/>
                <w:lang w:val="en-US" w:eastAsia="zh-CN" w:bidi="ar-SA"/>
              </w:rPr>
              <w:t>整机重量≤420g；激光测距最大测距≥40m；航向精度≤0.08°；姿态精度≤0.05°；具备双回波探测能力。</w:t>
            </w:r>
          </w:p>
        </w:tc>
        <w:tc>
          <w:tcPr>
            <w:tcW w:w="251" w:type="pct"/>
            <w:shd w:val="clear" w:color="000000" w:fill="FFFFFF"/>
            <w:vAlign w:val="center"/>
          </w:tcPr>
          <w:p w14:paraId="404FB3AD">
            <w:pPr>
              <w:widowControl/>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套</w:t>
            </w:r>
          </w:p>
        </w:tc>
        <w:tc>
          <w:tcPr>
            <w:tcW w:w="284" w:type="pct"/>
            <w:shd w:val="clear" w:color="000000" w:fill="FFFFFF"/>
            <w:vAlign w:val="center"/>
          </w:tcPr>
          <w:p w14:paraId="2B0E9723">
            <w:pPr>
              <w:widowControl/>
              <w:jc w:val="center"/>
              <w:textAlignment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7</w:t>
            </w:r>
          </w:p>
        </w:tc>
        <w:tc>
          <w:tcPr>
            <w:tcW w:w="381" w:type="pct"/>
            <w:vMerge w:val="continue"/>
            <w:vAlign w:val="center"/>
          </w:tcPr>
          <w:p w14:paraId="55010F44">
            <w:pPr>
              <w:widowControl/>
              <w:jc w:val="center"/>
              <w:rPr>
                <w:rFonts w:hint="eastAsia" w:ascii="宋体" w:hAnsi="宋体" w:eastAsia="宋体" w:cs="宋体"/>
                <w:color w:val="auto"/>
                <w:kern w:val="0"/>
                <w:sz w:val="24"/>
                <w:szCs w:val="24"/>
                <w:highlight w:val="none"/>
              </w:rPr>
            </w:pPr>
          </w:p>
        </w:tc>
        <w:tc>
          <w:tcPr>
            <w:tcW w:w="383" w:type="pct"/>
            <w:vMerge w:val="continue"/>
            <w:vAlign w:val="center"/>
          </w:tcPr>
          <w:p w14:paraId="390C077D">
            <w:pPr>
              <w:jc w:val="center"/>
              <w:rPr>
                <w:rFonts w:hint="eastAsia" w:ascii="宋体" w:hAnsi="宋体" w:eastAsia="宋体" w:cs="宋体"/>
                <w:color w:val="auto"/>
                <w:kern w:val="0"/>
                <w:sz w:val="24"/>
                <w:szCs w:val="24"/>
                <w:highlight w:val="none"/>
              </w:rPr>
            </w:pPr>
          </w:p>
        </w:tc>
        <w:tc>
          <w:tcPr>
            <w:tcW w:w="377" w:type="pct"/>
            <w:vMerge w:val="continue"/>
            <w:vAlign w:val="center"/>
          </w:tcPr>
          <w:p w14:paraId="3AF72F11">
            <w:pPr>
              <w:jc w:val="center"/>
              <w:rPr>
                <w:rFonts w:hint="eastAsia" w:ascii="宋体" w:hAnsi="宋体" w:eastAsia="宋体" w:cs="宋体"/>
                <w:color w:val="auto"/>
                <w:kern w:val="0"/>
                <w:sz w:val="24"/>
                <w:szCs w:val="24"/>
                <w:highlight w:val="none"/>
              </w:rPr>
            </w:pPr>
          </w:p>
        </w:tc>
        <w:tc>
          <w:tcPr>
            <w:tcW w:w="560" w:type="pct"/>
            <w:vMerge w:val="continue"/>
            <w:vAlign w:val="center"/>
          </w:tcPr>
          <w:p w14:paraId="6843FAFD">
            <w:pPr>
              <w:jc w:val="center"/>
              <w:rPr>
                <w:rFonts w:hint="eastAsia" w:ascii="宋体" w:hAnsi="宋体" w:eastAsia="宋体" w:cs="宋体"/>
                <w:color w:val="auto"/>
                <w:kern w:val="0"/>
                <w:sz w:val="24"/>
                <w:szCs w:val="24"/>
                <w:highlight w:val="none"/>
              </w:rPr>
            </w:pPr>
          </w:p>
        </w:tc>
        <w:tc>
          <w:tcPr>
            <w:tcW w:w="580" w:type="pct"/>
            <w:vMerge w:val="continue"/>
            <w:vAlign w:val="center"/>
          </w:tcPr>
          <w:p w14:paraId="7DF7B637">
            <w:pPr>
              <w:jc w:val="center"/>
              <w:rPr>
                <w:rFonts w:hint="eastAsia" w:ascii="宋体" w:hAnsi="宋体" w:eastAsia="宋体" w:cs="宋体"/>
                <w:color w:val="auto"/>
                <w:kern w:val="0"/>
                <w:sz w:val="24"/>
                <w:szCs w:val="24"/>
                <w:highlight w:val="none"/>
              </w:rPr>
            </w:pPr>
          </w:p>
        </w:tc>
      </w:tr>
    </w:tbl>
    <w:p w14:paraId="200B0481">
      <w:pPr>
        <w:keepNext w:val="0"/>
        <w:keepLines w:val="0"/>
        <w:pageBreakBefore w:val="0"/>
        <w:widowControl w:val="0"/>
        <w:shd w:val="clear"/>
        <w:kinsoku/>
        <w:wordWrap/>
        <w:overflowPunct/>
        <w:topLinePunct w:val="0"/>
        <w:bidi w:val="0"/>
        <w:adjustRightInd w:val="0"/>
        <w:snapToGrid w:val="0"/>
        <w:spacing w:after="0" w:line="400" w:lineRule="exact"/>
        <w:jc w:val="both"/>
        <w:textAlignment w:val="auto"/>
        <w:rPr>
          <w:rFonts w:hint="eastAsia" w:ascii="宋体" w:hAnsi="宋体" w:eastAsia="宋体" w:cs="宋体"/>
          <w:color w:val="auto"/>
          <w:kern w:val="2"/>
          <w:sz w:val="21"/>
          <w:szCs w:val="21"/>
          <w:highlight w:val="none"/>
          <w:lang w:eastAsia="zh-CN" w:bidi="ar-SA"/>
        </w:rPr>
      </w:pPr>
      <w:r>
        <w:rPr>
          <w:rFonts w:hint="eastAsia" w:ascii="宋体" w:hAnsi="宋体" w:eastAsia="宋体" w:cs="宋体"/>
          <w:color w:val="auto"/>
          <w:kern w:val="2"/>
          <w:sz w:val="21"/>
          <w:szCs w:val="21"/>
          <w:highlight w:val="none"/>
          <w:lang w:eastAsia="zh-CN" w:bidi="ar-SA"/>
        </w:rPr>
        <w:t>具体供货不局限于上述产品。应包括上述产品相关配件，类似升级产品。</w:t>
      </w:r>
    </w:p>
    <w:p w14:paraId="4465F58B">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1.取得《国家电网有限公司集中规模招标采购供应商资质能力核实证明》或《国网智能科技股份有限公司集中规模招标采购供应商资质能力核实证明》（以下简称《核实证明》）的投标人，应按要求使用该《核实证明》。《核实证明》含有的业绩、试验报告不能满足招标文件要求的，需要提供满足要求的业绩、试验报告等证明材料；未取得《核实证明》的，投标人需要提供对应支持证明材料。</w:t>
      </w:r>
    </w:p>
    <w:p w14:paraId="11A5795B">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2.投标文件中提供的证明材料复印件应复印清晰、可辨认且不得遮盖、涂抹，否则视为无效。</w:t>
      </w:r>
    </w:p>
    <w:p w14:paraId="7992AA6C">
      <w:pPr>
        <w:keepNext w:val="0"/>
        <w:keepLines w:val="0"/>
        <w:pageBreakBefore w:val="0"/>
        <w:shd w:val="clear"/>
        <w:kinsoku/>
        <w:wordWrap/>
        <w:overflowPunct/>
        <w:topLinePunct w:val="0"/>
        <w:bidi w:val="0"/>
        <w:adjustRightInd w:val="0"/>
        <w:snapToGrid w:val="0"/>
        <w:spacing w:beforeLines="-2147483648" w:afterLines="-2147483648"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合同金额以所提供的发票及查验截图为准，业绩发票影印件后须附通过国家税务总局全国增值税发票查验平台（网址：https://inv-veri.chinatax.gov.cn/）查验的发票结果截图，“一发票一截图”，业绩认定时间以合同签订时间为准，合同签订时间不得晚于项目“专用业绩要求”中要求的时间。未提供发票或未提供对应发票查验结果截图的或合同签订时间晚于项目“专用业绩要求”中要求的时间的业绩不予认可。所有业绩支撑证明材料内容须保证清晰、可辨认且不得遮盖、涂抹。</w:t>
      </w:r>
    </w:p>
    <w:sectPr>
      <w:footerReference r:id="rId4" w:type="default"/>
      <w:pgSz w:w="16838" w:h="11906" w:orient="landscape"/>
      <w:pgMar w:top="1134" w:right="1440" w:bottom="1134" w:left="1440" w:header="851" w:footer="992" w:gutter="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F4FE1">
    <w:pPr>
      <w:pStyle w:val="8"/>
      <w:spacing w:beforeLines="0" w:afterLines="0"/>
      <w:jc w:val="center"/>
      <w:rPr>
        <w:rFonts w:hint="eastAsia" w:eastAsia="等线"/>
        <w:sz w:val="18"/>
        <w:szCs w:val="18"/>
      </w:rPr>
    </w:pPr>
    <w:r>
      <w:rPr>
        <w:rFonts w:hint="default"/>
        <w:sz w:val="18"/>
        <w:szCs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DXOMk/zgEAAJYDAAAOAAAAAAAAAAEAIAAAAB8BAABkcnMv&#10;ZTJvRG9jLnhtbFBLBQYAAAAABgAGAFkBAABfBQAAAAA=&#10;">
              <v:fill on="f" focussize="0,0"/>
              <v:stroke on="f"/>
              <v:imagedata o:title=""/>
              <o:lock v:ext="edit" aspectratio="f"/>
              <v:textbox inset="0mm,0mm,0mm,0mm" style="mso-fit-shape-to-text:t;">
                <w:txbxContent>
                  <w:p w14:paraId="7DA4308A">
                    <w:pPr>
                      <w:pStyle w:val="8"/>
                      <w:spacing w:beforeLines="0" w:afterLines="0"/>
                      <w:rPr>
                        <w:rFonts w:hint="default" w:eastAsia="宋体"/>
                        <w:sz w:val="18"/>
                        <w:szCs w:val="18"/>
                      </w:rPr>
                    </w:pPr>
                    <w:r>
                      <w:rPr>
                        <w:rFonts w:hint="eastAsia" w:eastAsia="宋体"/>
                        <w:sz w:val="18"/>
                        <w:szCs w:val="18"/>
                      </w:rPr>
                      <w:fldChar w:fldCharType="begin"/>
                    </w:r>
                    <w:r>
                      <w:rPr>
                        <w:rFonts w:hint="eastAsia" w:eastAsia="宋体"/>
                        <w:sz w:val="18"/>
                        <w:szCs w:val="18"/>
                      </w:rPr>
                      <w:instrText xml:space="preserve"> PAGE  \* MERGEFORMAT </w:instrText>
                    </w:r>
                    <w:r>
                      <w:rPr>
                        <w:rFonts w:hint="eastAsia" w:eastAsia="宋体"/>
                        <w:sz w:val="18"/>
                        <w:szCs w:val="18"/>
                      </w:rPr>
                      <w:fldChar w:fldCharType="separate"/>
                    </w:r>
                    <w:r>
                      <w:rPr>
                        <w:rFonts w:hint="eastAsia" w:eastAsia="宋体"/>
                        <w:sz w:val="18"/>
                        <w:szCs w:val="18"/>
                      </w:rPr>
                      <w:t>6</w:t>
                    </w:r>
                    <w:r>
                      <w:rPr>
                        <w:rFonts w:hint="eastAsia" w:eastAsia="宋体"/>
                        <w:sz w:val="18"/>
                        <w:szCs w:val="18"/>
                      </w:rPr>
                      <w:fldChar w:fldCharType="end"/>
                    </w:r>
                  </w:p>
                </w:txbxContent>
              </v:textbox>
            </v:shape>
          </w:pict>
        </mc:Fallback>
      </mc:AlternateContent>
    </w:r>
    <w:r>
      <w:rPr>
        <w:rFonts w:hint="eastAsia" w:eastAsia="等线"/>
        <w:sz w:val="18"/>
        <w:szCs w:val="18"/>
      </w:rPr>
      <w:t xml:space="preserve">     </w:t>
    </w:r>
  </w:p>
  <w:p w14:paraId="4C1BA968">
    <w:pPr>
      <w:pStyle w:val="8"/>
      <w:spacing w:beforeLines="0" w:afterLines="0"/>
      <w:rPr>
        <w:rFonts w:hint="default"/>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6DDD38"/>
    <w:multiLevelType w:val="singleLevel"/>
    <w:tmpl w:val="FF6DDD3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SystemFonts/>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4B3000"/>
    <w:rsid w:val="00771B68"/>
    <w:rsid w:val="02FB6D7F"/>
    <w:rsid w:val="07AF45F8"/>
    <w:rsid w:val="1B0758A6"/>
    <w:rsid w:val="1F4B3000"/>
    <w:rsid w:val="247A4BEB"/>
    <w:rsid w:val="269C3827"/>
    <w:rsid w:val="30CA4097"/>
    <w:rsid w:val="37DC3A83"/>
    <w:rsid w:val="39333B77"/>
    <w:rsid w:val="3A361B71"/>
    <w:rsid w:val="474E330B"/>
    <w:rsid w:val="4A5767AB"/>
    <w:rsid w:val="51D14780"/>
    <w:rsid w:val="525E5C4F"/>
    <w:rsid w:val="55AA3239"/>
    <w:rsid w:val="60601D56"/>
    <w:rsid w:val="62150558"/>
    <w:rsid w:val="6A512FDC"/>
    <w:rsid w:val="705344E5"/>
    <w:rsid w:val="70FD477D"/>
    <w:rsid w:val="73450FE4"/>
    <w:rsid w:val="766034F6"/>
    <w:rsid w:val="77A61258"/>
    <w:rsid w:val="7C1E1D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等线" w:hAnsi="等线" w:eastAsia="等线" w:cs="Times New Roman"/>
      <w:kern w:val="2"/>
      <w:sz w:val="21"/>
      <w:szCs w:val="22"/>
      <w:lang w:val="en-US" w:eastAsia="zh-CN" w:bidi="ar-SA"/>
    </w:rPr>
  </w:style>
  <w:style w:type="paragraph" w:styleId="7">
    <w:name w:val="heading 2"/>
    <w:basedOn w:val="1"/>
    <w:next w:val="1"/>
    <w:unhideWhenUsed/>
    <w:qFormat/>
    <w:uiPriority w:val="0"/>
    <w:pPr>
      <w:autoSpaceDE w:val="0"/>
      <w:autoSpaceDN w:val="0"/>
      <w:spacing w:beforeLines="0" w:afterLines="0"/>
      <w:ind w:left="801" w:hanging="401"/>
      <w:jc w:val="left"/>
      <w:outlineLvl w:val="1"/>
    </w:pPr>
    <w:rPr>
      <w:rFonts w:hint="eastAsia" w:ascii="Microsoft JhengHei" w:hAnsi="Microsoft JhengHei" w:eastAsia="Microsoft JhengHei" w:cs="Microsoft JhengHei"/>
      <w:b/>
      <w:sz w:val="32"/>
      <w:szCs w:val="32"/>
      <w:lang w:val="zh-CN"/>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0"/>
    <w:pPr>
      <w:ind w:left="0" w:leftChars="0" w:firstLine="420"/>
    </w:pPr>
    <w:rPr>
      <w:rFonts w:ascii="Times New Roman" w:hAnsi="Times New Roman"/>
      <w:szCs w:val="24"/>
    </w:rPr>
  </w:style>
  <w:style w:type="paragraph" w:styleId="3">
    <w:name w:val="Body Text Indent"/>
    <w:basedOn w:val="1"/>
    <w:next w:val="4"/>
    <w:unhideWhenUsed/>
    <w:qFormat/>
    <w:uiPriority w:val="0"/>
    <w:pPr>
      <w:spacing w:after="120"/>
      <w:ind w:left="420" w:leftChars="200"/>
    </w:pPr>
  </w:style>
  <w:style w:type="paragraph" w:styleId="4">
    <w:name w:val="envelope return"/>
    <w:basedOn w:val="1"/>
    <w:qFormat/>
    <w:uiPriority w:val="99"/>
    <w:pPr>
      <w:snapToGrid w:val="0"/>
    </w:pPr>
    <w:rPr>
      <w:rFonts w:ascii="Arial" w:hAnsi="Arial" w:cs="Arial"/>
      <w:szCs w:val="24"/>
    </w:rPr>
  </w:style>
  <w:style w:type="paragraph" w:customStyle="1" w:styleId="5">
    <w:name w:val="表格文字"/>
    <w:basedOn w:val="6"/>
    <w:next w:val="1"/>
    <w:qFormat/>
    <w:uiPriority w:val="0"/>
    <w:pPr>
      <w:ind w:firstLine="0" w:firstLineChars="0"/>
      <w:jc w:val="center"/>
    </w:pPr>
    <w:rPr>
      <w:szCs w:val="20"/>
    </w:rPr>
  </w:style>
  <w:style w:type="paragraph" w:styleId="6">
    <w:name w:val="List"/>
    <w:basedOn w:val="1"/>
    <w:qFormat/>
    <w:uiPriority w:val="0"/>
    <w:pPr>
      <w:ind w:left="200" w:hanging="200" w:hangingChars="200"/>
      <w:contextualSpacing/>
    </w:pPr>
  </w:style>
  <w:style w:type="paragraph" w:styleId="8">
    <w:name w:val="footer"/>
    <w:basedOn w:val="1"/>
    <w:unhideWhenUsed/>
    <w:qFormat/>
    <w:uiPriority w:val="99"/>
    <w:pPr>
      <w:tabs>
        <w:tab w:val="center" w:pos="4153"/>
        <w:tab w:val="right" w:pos="8306"/>
      </w:tabs>
      <w:snapToGrid w:val="0"/>
      <w:spacing w:beforeLines="0" w:afterLines="0"/>
      <w:jc w:val="left"/>
    </w:pPr>
    <w:rPr>
      <w:rFonts w:hint="eastAsia"/>
      <w:sz w:val="18"/>
      <w:szCs w:val="18"/>
    </w:rPr>
  </w:style>
  <w:style w:type="paragraph" w:customStyle="1" w:styleId="11">
    <w:name w:val="正文文本2"/>
    <w:basedOn w:val="1"/>
    <w:unhideWhenUsed/>
    <w:qFormat/>
    <w:uiPriority w:val="0"/>
    <w:pPr>
      <w:autoSpaceDE w:val="0"/>
      <w:autoSpaceDN w:val="0"/>
      <w:spacing w:beforeLines="0" w:afterLines="0"/>
      <w:jc w:val="left"/>
    </w:pPr>
    <w:rPr>
      <w:rFonts w:hint="eastAsia" w:ascii="宋体" w:hAnsi="宋体" w:eastAsia="宋体"/>
      <w:sz w:val="20"/>
      <w:szCs w:val="21"/>
      <w:lang w:val="zh-CN"/>
    </w:rPr>
  </w:style>
  <w:style w:type="paragraph" w:customStyle="1" w:styleId="12">
    <w:name w:val="Normal_1"/>
    <w:autoRedefine/>
    <w:qFormat/>
    <w:uiPriority w:val="0"/>
    <w:pPr>
      <w:widowControl w:val="0"/>
      <w:jc w:val="both"/>
    </w:pPr>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5810</Words>
  <Characters>6457</Characters>
  <Lines>0</Lines>
  <Paragraphs>0</Paragraphs>
  <TotalTime>0</TotalTime>
  <ScaleCrop>false</ScaleCrop>
  <LinksUpToDate>false</LinksUpToDate>
  <CharactersWithSpaces>6476</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2026-06-12T06:39:00Z</dcterms:created>
  <dc:creator>北辰</dc:creator>
  <cp:lastModifiedBy>北辰</cp:lastModifiedBy>
  <dcterms:modified xsi:type="dcterms:W3CDTF">2026-10-20T11:54:26Z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39B085A9EFEE4A77B5C86FD0F25F73CD_11</vt:lpwstr>
  </property>
  <property fmtid="{D5CDD505-2E9C-101B-9397-08002B2CF9AE}" pid="4" name="KSOTemplateDocerSaveRecord">
    <vt:lpwstr>eyJoZGlkIjoiMjRjMDA5MjFhOTA3N2ZlYmNkNDBhNWFlYzc5N2FmNzIiLCJ1c2VySWQiOiIyOTA1NjMzODEifQ==</vt:lpwstr>
  </property>
</Properties>
</file>