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78"/>
        <w:gridCol w:w="5006"/>
        <w:gridCol w:w="887"/>
        <w:gridCol w:w="808"/>
        <w:gridCol w:w="785"/>
        <w:gridCol w:w="1199"/>
        <w:gridCol w:w="1105"/>
        <w:gridCol w:w="2457"/>
      </w:tblGrid>
      <w:tr w14:paraId="24CD74AA">
        <w:tblPrEx>
          <w:tblCellMar>
            <w:top w:w="0" w:type="dxa"/>
            <w:left w:w="108" w:type="dxa"/>
            <w:bottom w:w="0" w:type="dxa"/>
            <w:right w:w="108" w:type="dxa"/>
          </w:tblCellMar>
        </w:tblPrEx>
        <w:trPr>
          <w:trHeight w:val="1939" w:hRule="atLeast"/>
          <w:jc w:val="center"/>
        </w:trPr>
        <w:tc>
          <w:tcPr>
            <w:tcW w:w="331" w:type="pct"/>
            <w:vAlign w:val="center"/>
          </w:tcPr>
          <w:p w14:paraId="2DD45B04">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345" w:type="pct"/>
            <w:shd w:val="clear" w:color="auto" w:fill="auto"/>
            <w:vAlign w:val="center"/>
          </w:tcPr>
          <w:p w14:paraId="4373F78E">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物资名称</w:t>
            </w:r>
          </w:p>
        </w:tc>
        <w:tc>
          <w:tcPr>
            <w:tcW w:w="1766" w:type="pct"/>
            <w:shd w:val="clear" w:color="auto" w:fill="auto"/>
            <w:vAlign w:val="center"/>
          </w:tcPr>
          <w:p w14:paraId="3121B8A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313" w:type="pct"/>
            <w:shd w:val="clear" w:color="auto" w:fill="auto"/>
            <w:vAlign w:val="center"/>
          </w:tcPr>
          <w:p w14:paraId="5013B6A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285" w:type="pct"/>
            <w:shd w:val="clear" w:color="auto" w:fill="auto"/>
            <w:vAlign w:val="center"/>
          </w:tcPr>
          <w:p w14:paraId="4A8E6944">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277" w:type="pct"/>
            <w:shd w:val="clear" w:color="auto" w:fill="auto"/>
            <w:vAlign w:val="center"/>
          </w:tcPr>
          <w:p w14:paraId="2DF589D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交货日期</w:t>
            </w:r>
          </w:p>
        </w:tc>
        <w:tc>
          <w:tcPr>
            <w:tcW w:w="423" w:type="pct"/>
            <w:vAlign w:val="center"/>
          </w:tcPr>
          <w:p w14:paraId="19AD0032">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质保期（不低于）</w:t>
            </w:r>
          </w:p>
        </w:tc>
        <w:tc>
          <w:tcPr>
            <w:tcW w:w="390" w:type="pct"/>
            <w:shd w:val="clear" w:color="auto" w:fill="auto"/>
            <w:vAlign w:val="center"/>
          </w:tcPr>
          <w:p w14:paraId="0FA1FEB5">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交货地点</w:t>
            </w:r>
          </w:p>
        </w:tc>
        <w:tc>
          <w:tcPr>
            <w:tcW w:w="867" w:type="pct"/>
            <w:shd w:val="clear" w:color="auto" w:fill="auto"/>
            <w:vAlign w:val="center"/>
          </w:tcPr>
          <w:p w14:paraId="26E48379">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专用业绩要求</w:t>
            </w:r>
          </w:p>
        </w:tc>
      </w:tr>
      <w:tr w14:paraId="727B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1" w:type="pct"/>
            <w:vMerge w:val="restart"/>
            <w:vAlign w:val="center"/>
          </w:tcPr>
          <w:p w14:paraId="5237B245">
            <w:pPr>
              <w:widowControl/>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szCs w:val="24"/>
                <w:highlight w:val="none"/>
                <w:lang w:val="en-US" w:eastAsia="zh-CN"/>
              </w:rPr>
              <w:t>电源模块等组件采购项目</w:t>
            </w:r>
          </w:p>
        </w:tc>
        <w:tc>
          <w:tcPr>
            <w:tcW w:w="345" w:type="pct"/>
            <w:shd w:val="clear" w:color="auto" w:fill="auto"/>
            <w:vAlign w:val="center"/>
          </w:tcPr>
          <w:p w14:paraId="4C550CC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数据采集单元</w:t>
            </w:r>
          </w:p>
        </w:tc>
        <w:tc>
          <w:tcPr>
            <w:tcW w:w="1766" w:type="pct"/>
            <w:shd w:val="clear" w:color="auto" w:fill="auto"/>
            <w:vAlign w:val="center"/>
          </w:tcPr>
          <w:p w14:paraId="6DC0EA59">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1.实时监测线路线夹金具表面温度，定期通过射频方式发送数据。</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2.温度测量精度：±1℃；</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3.休眠静态功耗：≤5VA；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4.设备防护等级：≥IP65；</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5.射频通信距离：≥50m。</w:t>
            </w:r>
          </w:p>
        </w:tc>
        <w:tc>
          <w:tcPr>
            <w:tcW w:w="313" w:type="pct"/>
            <w:shd w:val="clear" w:color="auto" w:fill="auto"/>
            <w:vAlign w:val="center"/>
          </w:tcPr>
          <w:p w14:paraId="06896B1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285" w:type="pct"/>
            <w:shd w:val="clear" w:color="auto" w:fill="auto"/>
            <w:vAlign w:val="center"/>
          </w:tcPr>
          <w:p w14:paraId="0A38AE7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268</w:t>
            </w:r>
          </w:p>
        </w:tc>
        <w:tc>
          <w:tcPr>
            <w:tcW w:w="277" w:type="pct"/>
            <w:vMerge w:val="restart"/>
            <w:shd w:val="clear" w:color="auto" w:fill="auto"/>
            <w:vAlign w:val="center"/>
          </w:tcPr>
          <w:p w14:paraId="19B4CEF5">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接到供货通知后60日内</w:t>
            </w:r>
          </w:p>
        </w:tc>
        <w:tc>
          <w:tcPr>
            <w:tcW w:w="423" w:type="pct"/>
            <w:vMerge w:val="restart"/>
            <w:vAlign w:val="center"/>
          </w:tcPr>
          <w:p w14:paraId="0442A4E2">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36个月</w:t>
            </w:r>
          </w:p>
        </w:tc>
        <w:tc>
          <w:tcPr>
            <w:tcW w:w="390" w:type="pct"/>
            <w:vMerge w:val="restart"/>
            <w:shd w:val="clear" w:color="auto" w:fill="auto"/>
            <w:vAlign w:val="center"/>
          </w:tcPr>
          <w:p w14:paraId="2AC1DAB7">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867" w:type="pct"/>
            <w:vMerge w:val="restart"/>
            <w:shd w:val="clear" w:color="auto" w:fill="auto"/>
            <w:vAlign w:val="center"/>
          </w:tcPr>
          <w:p w14:paraId="7716EBB4">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2023年1月1日至2025年12月31日，完成过在线监测装置或视频监拍设备等销售业绩，累计金额不低于</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0万元。注:业绩必须提供对应的合同复印件、发票和相应查验截图。</w:t>
            </w:r>
          </w:p>
        </w:tc>
      </w:tr>
      <w:tr w14:paraId="430B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1" w:type="pct"/>
            <w:vMerge w:val="continue"/>
            <w:vAlign w:val="center"/>
          </w:tcPr>
          <w:p w14:paraId="621454AA">
            <w:pPr>
              <w:widowControl/>
              <w:jc w:val="center"/>
              <w:rPr>
                <w:rFonts w:hint="eastAsia" w:ascii="宋体" w:hAnsi="宋体" w:eastAsia="宋体" w:cs="宋体"/>
                <w:color w:val="auto"/>
                <w:kern w:val="0"/>
                <w:sz w:val="24"/>
                <w:szCs w:val="24"/>
                <w:highlight w:val="none"/>
                <w:lang w:eastAsia="zh-CN"/>
              </w:rPr>
            </w:pPr>
          </w:p>
        </w:tc>
        <w:tc>
          <w:tcPr>
            <w:tcW w:w="345" w:type="pct"/>
            <w:shd w:val="clear" w:color="auto" w:fill="auto"/>
            <w:vAlign w:val="center"/>
          </w:tcPr>
          <w:p w14:paraId="2B193A1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数据综合单元</w:t>
            </w:r>
          </w:p>
        </w:tc>
        <w:tc>
          <w:tcPr>
            <w:tcW w:w="1766" w:type="pct"/>
            <w:shd w:val="clear" w:color="auto" w:fill="auto"/>
            <w:vAlign w:val="center"/>
          </w:tcPr>
          <w:p w14:paraId="1231A6A9">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1.支持4G/5G/北斗通信模块等无线传输;</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2.具备与测温装置通讯接收模块，实时接收温度数据</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3.加电后能自启动，并能手动或接受数据处理系统、数据集中器的启动命令后进行初始化，重新启动工作;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4.设计使用寿命≥8年。</w:t>
            </w:r>
          </w:p>
        </w:tc>
        <w:tc>
          <w:tcPr>
            <w:tcW w:w="313" w:type="pct"/>
            <w:shd w:val="clear" w:color="auto" w:fill="auto"/>
            <w:vAlign w:val="center"/>
          </w:tcPr>
          <w:p w14:paraId="6C369D6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285" w:type="pct"/>
            <w:shd w:val="clear" w:color="auto" w:fill="auto"/>
            <w:vAlign w:val="center"/>
          </w:tcPr>
          <w:p w14:paraId="53FB037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268</w:t>
            </w:r>
          </w:p>
        </w:tc>
        <w:tc>
          <w:tcPr>
            <w:tcW w:w="277" w:type="pct"/>
            <w:vMerge w:val="continue"/>
            <w:shd w:val="clear" w:color="auto" w:fill="auto"/>
            <w:vAlign w:val="center"/>
          </w:tcPr>
          <w:p w14:paraId="3A39A12D">
            <w:pPr>
              <w:widowControl/>
              <w:jc w:val="center"/>
              <w:rPr>
                <w:rFonts w:hint="eastAsia" w:ascii="宋体" w:hAnsi="宋体" w:eastAsia="宋体" w:cs="宋体"/>
                <w:color w:val="auto"/>
                <w:kern w:val="0"/>
                <w:sz w:val="24"/>
                <w:szCs w:val="24"/>
                <w:highlight w:val="none"/>
              </w:rPr>
            </w:pPr>
          </w:p>
        </w:tc>
        <w:tc>
          <w:tcPr>
            <w:tcW w:w="423" w:type="pct"/>
            <w:vMerge w:val="continue"/>
            <w:vAlign w:val="center"/>
          </w:tcPr>
          <w:p w14:paraId="5B8CA581">
            <w:pPr>
              <w:jc w:val="center"/>
              <w:rPr>
                <w:rFonts w:hint="eastAsia" w:ascii="宋体" w:hAnsi="宋体" w:eastAsia="宋体" w:cs="宋体"/>
                <w:color w:val="auto"/>
                <w:kern w:val="0"/>
                <w:sz w:val="24"/>
                <w:szCs w:val="24"/>
                <w:highlight w:val="none"/>
              </w:rPr>
            </w:pPr>
          </w:p>
        </w:tc>
        <w:tc>
          <w:tcPr>
            <w:tcW w:w="390" w:type="pct"/>
            <w:vMerge w:val="continue"/>
            <w:shd w:val="clear" w:color="auto" w:fill="auto"/>
            <w:vAlign w:val="center"/>
          </w:tcPr>
          <w:p w14:paraId="6EBAD918">
            <w:pPr>
              <w:jc w:val="center"/>
              <w:rPr>
                <w:rFonts w:hint="eastAsia" w:ascii="宋体" w:hAnsi="宋体" w:eastAsia="宋体" w:cs="宋体"/>
                <w:color w:val="auto"/>
                <w:kern w:val="0"/>
                <w:sz w:val="24"/>
                <w:szCs w:val="24"/>
                <w:highlight w:val="none"/>
              </w:rPr>
            </w:pPr>
          </w:p>
        </w:tc>
        <w:tc>
          <w:tcPr>
            <w:tcW w:w="867" w:type="pct"/>
            <w:vMerge w:val="continue"/>
            <w:shd w:val="clear" w:color="auto" w:fill="auto"/>
            <w:vAlign w:val="center"/>
          </w:tcPr>
          <w:p w14:paraId="5E5B4C28">
            <w:pPr>
              <w:jc w:val="center"/>
              <w:rPr>
                <w:rFonts w:hint="eastAsia" w:ascii="宋体" w:hAnsi="宋体" w:eastAsia="宋体" w:cs="宋体"/>
                <w:color w:val="auto"/>
                <w:kern w:val="0"/>
                <w:sz w:val="24"/>
                <w:szCs w:val="24"/>
                <w:highlight w:val="none"/>
              </w:rPr>
            </w:pPr>
          </w:p>
        </w:tc>
      </w:tr>
      <w:tr w14:paraId="167D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1" w:type="pct"/>
            <w:vMerge w:val="continue"/>
            <w:vAlign w:val="center"/>
          </w:tcPr>
          <w:p w14:paraId="191E4B60">
            <w:pPr>
              <w:widowControl/>
              <w:jc w:val="center"/>
              <w:rPr>
                <w:rFonts w:hint="eastAsia" w:ascii="宋体" w:hAnsi="宋体" w:eastAsia="宋体" w:cs="宋体"/>
                <w:color w:val="auto"/>
                <w:kern w:val="0"/>
                <w:sz w:val="24"/>
                <w:szCs w:val="24"/>
                <w:highlight w:val="none"/>
                <w:lang w:eastAsia="zh-CN"/>
              </w:rPr>
            </w:pPr>
          </w:p>
        </w:tc>
        <w:tc>
          <w:tcPr>
            <w:tcW w:w="345" w:type="pct"/>
            <w:shd w:val="clear" w:color="auto" w:fill="auto"/>
            <w:vAlign w:val="center"/>
          </w:tcPr>
          <w:p w14:paraId="1BEAFCC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电源模块</w:t>
            </w:r>
          </w:p>
        </w:tc>
        <w:tc>
          <w:tcPr>
            <w:tcW w:w="1766" w:type="pct"/>
            <w:shd w:val="clear" w:color="auto" w:fill="auto"/>
            <w:vAlign w:val="center"/>
          </w:tcPr>
          <w:p w14:paraId="67D439EA">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1.采用太阳能+蓄电池供电；</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2.太阳能板，安装于杆塔；</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3.具备电池充放电保护功能，防止电池过充过放；</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4.电池安装于主机内。</w:t>
            </w:r>
          </w:p>
        </w:tc>
        <w:tc>
          <w:tcPr>
            <w:tcW w:w="313" w:type="pct"/>
            <w:shd w:val="clear" w:color="auto" w:fill="auto"/>
            <w:vAlign w:val="center"/>
          </w:tcPr>
          <w:p w14:paraId="061E514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块</w:t>
            </w:r>
          </w:p>
        </w:tc>
        <w:tc>
          <w:tcPr>
            <w:tcW w:w="285" w:type="pct"/>
            <w:shd w:val="clear" w:color="auto" w:fill="auto"/>
            <w:vAlign w:val="center"/>
          </w:tcPr>
          <w:p w14:paraId="7B9611C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268</w:t>
            </w:r>
          </w:p>
        </w:tc>
        <w:tc>
          <w:tcPr>
            <w:tcW w:w="277" w:type="pct"/>
            <w:vMerge w:val="continue"/>
            <w:shd w:val="clear" w:color="auto" w:fill="auto"/>
            <w:vAlign w:val="center"/>
          </w:tcPr>
          <w:p w14:paraId="4D9AE330">
            <w:pPr>
              <w:widowControl/>
              <w:jc w:val="center"/>
              <w:rPr>
                <w:rFonts w:hint="eastAsia" w:ascii="宋体" w:hAnsi="宋体" w:eastAsia="宋体" w:cs="宋体"/>
                <w:color w:val="auto"/>
                <w:kern w:val="0"/>
                <w:sz w:val="24"/>
                <w:szCs w:val="24"/>
                <w:highlight w:val="none"/>
              </w:rPr>
            </w:pPr>
          </w:p>
        </w:tc>
        <w:tc>
          <w:tcPr>
            <w:tcW w:w="423" w:type="pct"/>
            <w:vMerge w:val="continue"/>
            <w:vAlign w:val="center"/>
          </w:tcPr>
          <w:p w14:paraId="7BBB60A6">
            <w:pPr>
              <w:jc w:val="center"/>
              <w:rPr>
                <w:rFonts w:hint="eastAsia" w:ascii="宋体" w:hAnsi="宋体" w:eastAsia="宋体" w:cs="宋体"/>
                <w:color w:val="auto"/>
                <w:kern w:val="0"/>
                <w:sz w:val="24"/>
                <w:szCs w:val="24"/>
                <w:highlight w:val="none"/>
              </w:rPr>
            </w:pPr>
          </w:p>
        </w:tc>
        <w:tc>
          <w:tcPr>
            <w:tcW w:w="390" w:type="pct"/>
            <w:vMerge w:val="continue"/>
            <w:shd w:val="clear" w:color="auto" w:fill="auto"/>
            <w:vAlign w:val="center"/>
          </w:tcPr>
          <w:p w14:paraId="6658EA9B">
            <w:pPr>
              <w:jc w:val="center"/>
              <w:rPr>
                <w:rFonts w:hint="eastAsia" w:ascii="宋体" w:hAnsi="宋体" w:eastAsia="宋体" w:cs="宋体"/>
                <w:color w:val="auto"/>
                <w:kern w:val="0"/>
                <w:sz w:val="24"/>
                <w:szCs w:val="24"/>
                <w:highlight w:val="none"/>
              </w:rPr>
            </w:pPr>
          </w:p>
        </w:tc>
        <w:tc>
          <w:tcPr>
            <w:tcW w:w="867" w:type="pct"/>
            <w:vMerge w:val="continue"/>
            <w:shd w:val="clear" w:color="auto" w:fill="auto"/>
            <w:vAlign w:val="center"/>
          </w:tcPr>
          <w:p w14:paraId="739D8004">
            <w:pPr>
              <w:jc w:val="center"/>
              <w:rPr>
                <w:rFonts w:hint="eastAsia" w:ascii="宋体" w:hAnsi="宋体" w:eastAsia="宋体" w:cs="宋体"/>
                <w:color w:val="auto"/>
                <w:kern w:val="0"/>
                <w:sz w:val="24"/>
                <w:szCs w:val="24"/>
                <w:highlight w:val="none"/>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7D413398">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390BF6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329B458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19A6A10"/>
    <w:rsid w:val="02FB6D7F"/>
    <w:rsid w:val="040F7B60"/>
    <w:rsid w:val="07AF45F8"/>
    <w:rsid w:val="1F4B3000"/>
    <w:rsid w:val="247A4BEB"/>
    <w:rsid w:val="307A24E3"/>
    <w:rsid w:val="37DC3A83"/>
    <w:rsid w:val="39333B77"/>
    <w:rsid w:val="4A5767AB"/>
    <w:rsid w:val="4EEA3D53"/>
    <w:rsid w:val="51D14780"/>
    <w:rsid w:val="525E5C4F"/>
    <w:rsid w:val="55AA3239"/>
    <w:rsid w:val="60601D56"/>
    <w:rsid w:val="65986EF3"/>
    <w:rsid w:val="663F505A"/>
    <w:rsid w:val="73450FE4"/>
    <w:rsid w:val="77A61258"/>
    <w:rsid w:val="7AF013E7"/>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5626</Words>
  <Characters>6217</Characters>
  <Lines>0</Lines>
  <Paragraphs>0</Paragraphs>
  <TotalTime>0</TotalTime>
  <ScaleCrop>false</ScaleCrop>
  <LinksUpToDate>false</LinksUpToDate>
  <CharactersWithSpaces>6236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