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1055"/>
        <w:gridCol w:w="5549"/>
        <w:gridCol w:w="709"/>
        <w:gridCol w:w="848"/>
        <w:gridCol w:w="943"/>
        <w:gridCol w:w="949"/>
        <w:gridCol w:w="873"/>
        <w:gridCol w:w="2070"/>
      </w:tblGrid>
      <w:tr w14:paraId="2986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39" w:hRule="atLeast"/>
          <w:jc w:val="center"/>
        </w:trPr>
        <w:tc>
          <w:tcPr>
            <w:tcW w:w="337" w:type="pct"/>
            <w:vAlign w:val="center"/>
          </w:tcPr>
          <w:p w14:paraId="2DD45B04">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378" w:type="pct"/>
            <w:shd w:val="clear" w:color="auto" w:fill="auto"/>
            <w:vAlign w:val="center"/>
          </w:tcPr>
          <w:p w14:paraId="4373F78E">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1989" w:type="pct"/>
            <w:shd w:val="clear" w:color="auto" w:fill="auto"/>
            <w:vAlign w:val="center"/>
          </w:tcPr>
          <w:p w14:paraId="3121B8A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254" w:type="pct"/>
            <w:shd w:val="clear" w:color="auto" w:fill="auto"/>
            <w:vAlign w:val="center"/>
          </w:tcPr>
          <w:p w14:paraId="5013B6A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304" w:type="pct"/>
            <w:shd w:val="clear" w:color="auto" w:fill="auto"/>
            <w:vAlign w:val="center"/>
          </w:tcPr>
          <w:p w14:paraId="4A8E6944">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338" w:type="pct"/>
            <w:shd w:val="clear" w:color="auto" w:fill="auto"/>
            <w:vAlign w:val="center"/>
          </w:tcPr>
          <w:p w14:paraId="2DF589D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340" w:type="pct"/>
            <w:vAlign w:val="center"/>
          </w:tcPr>
          <w:p w14:paraId="19AD0032">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313" w:type="pct"/>
            <w:shd w:val="clear" w:color="auto" w:fill="auto"/>
            <w:vAlign w:val="center"/>
          </w:tcPr>
          <w:p w14:paraId="0FA1FEB5">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742" w:type="pct"/>
            <w:shd w:val="clear" w:color="auto" w:fill="auto"/>
            <w:vAlign w:val="center"/>
          </w:tcPr>
          <w:p w14:paraId="23E6FCE7">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78B1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7" w:type="pct"/>
            <w:vMerge w:val="restart"/>
            <w:vAlign w:val="center"/>
          </w:tcPr>
          <w:p w14:paraId="7F09B1D7">
            <w:pPr>
              <w:widowControl/>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数据采集单元等组件采购项目</w:t>
            </w:r>
          </w:p>
        </w:tc>
        <w:tc>
          <w:tcPr>
            <w:tcW w:w="378" w:type="pct"/>
            <w:shd w:val="clear" w:color="auto" w:fill="auto"/>
            <w:vAlign w:val="center"/>
          </w:tcPr>
          <w:p w14:paraId="1AE0700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数据采集单元</w:t>
            </w:r>
          </w:p>
        </w:tc>
        <w:tc>
          <w:tcPr>
            <w:tcW w:w="1989" w:type="pct"/>
            <w:shd w:val="clear" w:color="auto" w:fill="auto"/>
            <w:vAlign w:val="center"/>
          </w:tcPr>
          <w:p w14:paraId="158D3F8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1.具备受控采集模式和报警主动采集模式。</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2.频率范围：0~5Hz。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3.精度：≥5%。</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4.单次采样点数：≥400 点，30S以上舞动轨迹数据。</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5.幅度测量范围：±10m。</w:t>
            </w:r>
          </w:p>
        </w:tc>
        <w:tc>
          <w:tcPr>
            <w:tcW w:w="254" w:type="pct"/>
            <w:shd w:val="clear" w:color="auto" w:fill="auto"/>
            <w:vAlign w:val="center"/>
          </w:tcPr>
          <w:p w14:paraId="5EEE132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个</w:t>
            </w:r>
          </w:p>
        </w:tc>
        <w:tc>
          <w:tcPr>
            <w:tcW w:w="304" w:type="pct"/>
            <w:shd w:val="clear" w:color="auto" w:fill="auto"/>
            <w:vAlign w:val="center"/>
          </w:tcPr>
          <w:p w14:paraId="3967212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15</w:t>
            </w:r>
          </w:p>
        </w:tc>
        <w:tc>
          <w:tcPr>
            <w:tcW w:w="338" w:type="pct"/>
            <w:vMerge w:val="restart"/>
            <w:shd w:val="clear" w:color="auto" w:fill="auto"/>
            <w:vAlign w:val="center"/>
          </w:tcPr>
          <w:p w14:paraId="03F330DD">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u w:val="single"/>
              </w:rPr>
              <w:t>0</w:t>
            </w:r>
            <w:r>
              <w:rPr>
                <w:rFonts w:hint="eastAsia" w:ascii="宋体" w:hAnsi="宋体" w:eastAsia="宋体" w:cs="宋体"/>
                <w:color w:val="auto"/>
                <w:kern w:val="0"/>
                <w:sz w:val="24"/>
                <w:szCs w:val="24"/>
                <w:highlight w:val="none"/>
              </w:rPr>
              <w:t>日内</w:t>
            </w:r>
          </w:p>
        </w:tc>
        <w:tc>
          <w:tcPr>
            <w:tcW w:w="340" w:type="pct"/>
            <w:vMerge w:val="restart"/>
            <w:vAlign w:val="center"/>
          </w:tcPr>
          <w:p w14:paraId="29B466DA">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313" w:type="pct"/>
            <w:vMerge w:val="restart"/>
            <w:shd w:val="clear" w:color="auto" w:fill="auto"/>
            <w:vAlign w:val="center"/>
          </w:tcPr>
          <w:p w14:paraId="76CB5130">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742" w:type="pct"/>
            <w:vMerge w:val="restart"/>
            <w:shd w:val="clear" w:color="auto" w:fill="auto"/>
            <w:vAlign w:val="center"/>
          </w:tcPr>
          <w:p w14:paraId="1075CEA5">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2023年1月1日至2025年12月31日，完成过在线监测装置或视频监拍设备等销售业绩，累计金额不低于</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0万元。注:业绩必须提供对应的合同复印件、发票和相应查验截图。</w:t>
            </w:r>
          </w:p>
        </w:tc>
      </w:tr>
      <w:tr w14:paraId="6D35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7" w:type="pct"/>
            <w:vMerge w:val="continue"/>
            <w:vAlign w:val="center"/>
          </w:tcPr>
          <w:p w14:paraId="4F56D935">
            <w:pPr>
              <w:widowControl/>
              <w:jc w:val="center"/>
              <w:rPr>
                <w:rFonts w:hint="eastAsia" w:ascii="宋体" w:hAnsi="宋体" w:eastAsia="宋体" w:cs="宋体"/>
                <w:color w:val="auto"/>
                <w:kern w:val="0"/>
                <w:sz w:val="24"/>
                <w:szCs w:val="24"/>
                <w:highlight w:val="none"/>
                <w:lang w:eastAsia="zh-CN"/>
              </w:rPr>
            </w:pPr>
          </w:p>
        </w:tc>
        <w:tc>
          <w:tcPr>
            <w:tcW w:w="378" w:type="pct"/>
            <w:shd w:val="clear" w:color="auto" w:fill="auto"/>
            <w:vAlign w:val="center"/>
          </w:tcPr>
          <w:p w14:paraId="1F02473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主控处理单元</w:t>
            </w:r>
          </w:p>
        </w:tc>
        <w:tc>
          <w:tcPr>
            <w:tcW w:w="1989" w:type="pct"/>
            <w:shd w:val="clear" w:color="auto" w:fill="auto"/>
            <w:vAlign w:val="center"/>
          </w:tcPr>
          <w:p w14:paraId="5DBE055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1.输出的信息包括舞动频率、舞动幅值、舞动轨迹、舞动椭圆倾斜角等参数。</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2.具备报警信息、电源信息、监测装置运行状态等数据监测。</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3.需满足抗干扰、抗震及防腐蚀、防潮、防盐雾、防霉菌等环境要求。</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4.低功耗控制：休眠唤醒逻辑，适配电池续航，免充电连续工作≥30天。</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5.原始波形≥90天循环存储；数据断电不丢失。</w:t>
            </w:r>
          </w:p>
        </w:tc>
        <w:tc>
          <w:tcPr>
            <w:tcW w:w="254" w:type="pct"/>
            <w:shd w:val="clear" w:color="auto" w:fill="auto"/>
            <w:vAlign w:val="center"/>
          </w:tcPr>
          <w:p w14:paraId="312A349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个</w:t>
            </w:r>
          </w:p>
        </w:tc>
        <w:tc>
          <w:tcPr>
            <w:tcW w:w="304" w:type="pct"/>
            <w:shd w:val="clear" w:color="auto" w:fill="auto"/>
            <w:vAlign w:val="center"/>
          </w:tcPr>
          <w:p w14:paraId="27A9392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15</w:t>
            </w:r>
          </w:p>
        </w:tc>
        <w:tc>
          <w:tcPr>
            <w:tcW w:w="338" w:type="pct"/>
            <w:vMerge w:val="continue"/>
            <w:shd w:val="clear" w:color="auto" w:fill="auto"/>
            <w:vAlign w:val="center"/>
          </w:tcPr>
          <w:p w14:paraId="2BCD95FA">
            <w:pPr>
              <w:widowControl/>
              <w:jc w:val="center"/>
              <w:rPr>
                <w:rFonts w:hint="eastAsia" w:ascii="宋体" w:hAnsi="宋体" w:eastAsia="宋体" w:cs="宋体"/>
                <w:color w:val="auto"/>
                <w:kern w:val="0"/>
                <w:sz w:val="24"/>
                <w:szCs w:val="24"/>
                <w:highlight w:val="none"/>
              </w:rPr>
            </w:pPr>
          </w:p>
        </w:tc>
        <w:tc>
          <w:tcPr>
            <w:tcW w:w="340" w:type="pct"/>
            <w:vMerge w:val="continue"/>
            <w:vAlign w:val="center"/>
          </w:tcPr>
          <w:p w14:paraId="517D039B">
            <w:pPr>
              <w:jc w:val="center"/>
              <w:rPr>
                <w:rFonts w:hint="eastAsia" w:ascii="宋体" w:hAnsi="宋体" w:eastAsia="宋体" w:cs="宋体"/>
                <w:color w:val="auto"/>
                <w:kern w:val="0"/>
                <w:sz w:val="24"/>
                <w:szCs w:val="24"/>
                <w:highlight w:val="none"/>
              </w:rPr>
            </w:pPr>
          </w:p>
        </w:tc>
        <w:tc>
          <w:tcPr>
            <w:tcW w:w="313" w:type="pct"/>
            <w:vMerge w:val="continue"/>
            <w:shd w:val="clear" w:color="auto" w:fill="auto"/>
            <w:vAlign w:val="center"/>
          </w:tcPr>
          <w:p w14:paraId="6F1D979A">
            <w:pPr>
              <w:jc w:val="center"/>
              <w:rPr>
                <w:rFonts w:hint="eastAsia" w:ascii="宋体" w:hAnsi="宋体" w:eastAsia="宋体" w:cs="宋体"/>
                <w:color w:val="auto"/>
                <w:kern w:val="0"/>
                <w:sz w:val="24"/>
                <w:szCs w:val="24"/>
                <w:highlight w:val="none"/>
              </w:rPr>
            </w:pPr>
          </w:p>
        </w:tc>
        <w:tc>
          <w:tcPr>
            <w:tcW w:w="742" w:type="pct"/>
            <w:vMerge w:val="continue"/>
            <w:shd w:val="clear" w:color="auto" w:fill="auto"/>
            <w:vAlign w:val="center"/>
          </w:tcPr>
          <w:p w14:paraId="5553C5AD">
            <w:pPr>
              <w:jc w:val="center"/>
              <w:rPr>
                <w:rFonts w:hint="eastAsia" w:ascii="宋体" w:hAnsi="宋体" w:eastAsia="宋体" w:cs="宋体"/>
                <w:color w:val="auto"/>
                <w:kern w:val="0"/>
                <w:sz w:val="24"/>
                <w:szCs w:val="24"/>
                <w:highlight w:val="none"/>
              </w:rPr>
            </w:pPr>
          </w:p>
        </w:tc>
      </w:tr>
      <w:tr w14:paraId="093A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7" w:type="pct"/>
            <w:vMerge w:val="continue"/>
            <w:vAlign w:val="center"/>
          </w:tcPr>
          <w:p w14:paraId="6BE17FB6">
            <w:pPr>
              <w:widowControl/>
              <w:jc w:val="center"/>
              <w:rPr>
                <w:rFonts w:hint="eastAsia" w:ascii="宋体" w:hAnsi="宋体" w:eastAsia="宋体" w:cs="宋体"/>
                <w:color w:val="auto"/>
                <w:kern w:val="0"/>
                <w:sz w:val="24"/>
                <w:szCs w:val="24"/>
                <w:highlight w:val="none"/>
                <w:lang w:eastAsia="zh-CN"/>
              </w:rPr>
            </w:pPr>
          </w:p>
        </w:tc>
        <w:tc>
          <w:tcPr>
            <w:tcW w:w="378" w:type="pct"/>
            <w:shd w:val="clear" w:color="auto" w:fill="auto"/>
            <w:vAlign w:val="center"/>
          </w:tcPr>
          <w:p w14:paraId="1D4911D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通信汇集单元</w:t>
            </w:r>
          </w:p>
        </w:tc>
        <w:tc>
          <w:tcPr>
            <w:tcW w:w="1989" w:type="pct"/>
            <w:shd w:val="clear" w:color="auto" w:fill="auto"/>
            <w:vAlign w:val="center"/>
          </w:tcPr>
          <w:p w14:paraId="47102330">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1.采集单元与输电边缘网关之间的无线通信采用IEEE802.15.4、Zigbee、WiFi、WiMax、433M，lora等短距通信方式。</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2.采集单元与输电边缘网关之间无线通信距离，空旷距离≥300 米，含轨迹数据传输。</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3.具备无线公网、光纤或以太网等远程通信接口，实现监测装置与主站系统之间的通信。无线公网通讯流量≥300G。</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4.应用层数据传输规约满足北斗短报文格式的相关要求。</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5.数据传输可靠性≥99%。</w:t>
            </w:r>
          </w:p>
        </w:tc>
        <w:tc>
          <w:tcPr>
            <w:tcW w:w="254" w:type="pct"/>
            <w:shd w:val="clear" w:color="auto" w:fill="auto"/>
            <w:vAlign w:val="center"/>
          </w:tcPr>
          <w:p w14:paraId="0EB849B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个</w:t>
            </w:r>
          </w:p>
        </w:tc>
        <w:tc>
          <w:tcPr>
            <w:tcW w:w="304" w:type="pct"/>
            <w:shd w:val="clear" w:color="auto" w:fill="auto"/>
            <w:vAlign w:val="center"/>
          </w:tcPr>
          <w:p w14:paraId="6525D11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15</w:t>
            </w:r>
          </w:p>
        </w:tc>
        <w:tc>
          <w:tcPr>
            <w:tcW w:w="338" w:type="pct"/>
            <w:vMerge w:val="continue"/>
            <w:shd w:val="clear" w:color="auto" w:fill="auto"/>
            <w:vAlign w:val="center"/>
          </w:tcPr>
          <w:p w14:paraId="52AB551A">
            <w:pPr>
              <w:widowControl/>
              <w:jc w:val="center"/>
              <w:rPr>
                <w:rFonts w:hint="eastAsia" w:ascii="宋体" w:hAnsi="宋体" w:eastAsia="宋体" w:cs="宋体"/>
                <w:color w:val="auto"/>
                <w:kern w:val="0"/>
                <w:sz w:val="24"/>
                <w:szCs w:val="24"/>
                <w:highlight w:val="none"/>
              </w:rPr>
            </w:pPr>
          </w:p>
        </w:tc>
        <w:tc>
          <w:tcPr>
            <w:tcW w:w="340" w:type="pct"/>
            <w:vMerge w:val="continue"/>
            <w:vAlign w:val="center"/>
          </w:tcPr>
          <w:p w14:paraId="737B7A27">
            <w:pPr>
              <w:jc w:val="center"/>
              <w:rPr>
                <w:rFonts w:hint="eastAsia" w:ascii="宋体" w:hAnsi="宋体" w:eastAsia="宋体" w:cs="宋体"/>
                <w:color w:val="auto"/>
                <w:kern w:val="0"/>
                <w:sz w:val="24"/>
                <w:szCs w:val="24"/>
                <w:highlight w:val="none"/>
              </w:rPr>
            </w:pPr>
          </w:p>
        </w:tc>
        <w:tc>
          <w:tcPr>
            <w:tcW w:w="313" w:type="pct"/>
            <w:vMerge w:val="continue"/>
            <w:shd w:val="clear" w:color="auto" w:fill="auto"/>
            <w:vAlign w:val="center"/>
          </w:tcPr>
          <w:p w14:paraId="1B465C45">
            <w:pPr>
              <w:jc w:val="center"/>
              <w:rPr>
                <w:rFonts w:hint="eastAsia" w:ascii="宋体" w:hAnsi="宋体" w:eastAsia="宋体" w:cs="宋体"/>
                <w:color w:val="auto"/>
                <w:kern w:val="0"/>
                <w:sz w:val="24"/>
                <w:szCs w:val="24"/>
                <w:highlight w:val="none"/>
              </w:rPr>
            </w:pPr>
          </w:p>
        </w:tc>
        <w:tc>
          <w:tcPr>
            <w:tcW w:w="742" w:type="pct"/>
            <w:vMerge w:val="continue"/>
            <w:shd w:val="clear" w:color="auto" w:fill="auto"/>
            <w:vAlign w:val="center"/>
          </w:tcPr>
          <w:p w14:paraId="6ADA01C9">
            <w:pPr>
              <w:jc w:val="center"/>
              <w:rPr>
                <w:rFonts w:hint="eastAsia" w:ascii="宋体" w:hAnsi="宋体" w:eastAsia="宋体" w:cs="宋体"/>
                <w:color w:val="auto"/>
                <w:kern w:val="0"/>
                <w:sz w:val="24"/>
                <w:szCs w:val="24"/>
                <w:highlight w:val="none"/>
              </w:rPr>
            </w:pPr>
          </w:p>
        </w:tc>
      </w:tr>
      <w:tr w14:paraId="2019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7" w:type="pct"/>
            <w:vMerge w:val="continue"/>
            <w:vAlign w:val="center"/>
          </w:tcPr>
          <w:p w14:paraId="641713DC">
            <w:pPr>
              <w:widowControl/>
              <w:jc w:val="center"/>
              <w:rPr>
                <w:rFonts w:hint="eastAsia" w:ascii="宋体" w:hAnsi="宋体" w:eastAsia="宋体" w:cs="宋体"/>
                <w:color w:val="auto"/>
                <w:kern w:val="0"/>
                <w:sz w:val="24"/>
                <w:szCs w:val="24"/>
                <w:highlight w:val="none"/>
                <w:lang w:eastAsia="zh-CN"/>
              </w:rPr>
            </w:pPr>
          </w:p>
        </w:tc>
        <w:tc>
          <w:tcPr>
            <w:tcW w:w="378" w:type="pct"/>
            <w:shd w:val="clear" w:color="auto" w:fill="auto"/>
            <w:vAlign w:val="center"/>
          </w:tcPr>
          <w:p w14:paraId="136DE46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供电组件</w:t>
            </w:r>
          </w:p>
        </w:tc>
        <w:tc>
          <w:tcPr>
            <w:tcW w:w="1989" w:type="pct"/>
            <w:shd w:val="clear" w:color="auto" w:fill="auto"/>
            <w:vAlign w:val="center"/>
          </w:tcPr>
          <w:p w14:paraId="037E4D19">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1.太阳能光伏取电。</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2.光伏转换率≥22%。</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3.太阳能板面积单块≥156*144m。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4.单块光伏额定功率≥3.4W。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5.单块光伏额定电压≥8.8V。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6.单块光伏额定电流≥386mA。</w:t>
            </w:r>
          </w:p>
        </w:tc>
        <w:tc>
          <w:tcPr>
            <w:tcW w:w="254" w:type="pct"/>
            <w:shd w:val="clear" w:color="auto" w:fill="auto"/>
            <w:vAlign w:val="center"/>
          </w:tcPr>
          <w:p w14:paraId="4C119A7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个</w:t>
            </w:r>
          </w:p>
        </w:tc>
        <w:tc>
          <w:tcPr>
            <w:tcW w:w="304" w:type="pct"/>
            <w:shd w:val="clear" w:color="auto" w:fill="auto"/>
            <w:vAlign w:val="center"/>
          </w:tcPr>
          <w:p w14:paraId="2255716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15</w:t>
            </w:r>
          </w:p>
        </w:tc>
        <w:tc>
          <w:tcPr>
            <w:tcW w:w="338" w:type="pct"/>
            <w:vMerge w:val="continue"/>
            <w:shd w:val="clear" w:color="auto" w:fill="auto"/>
            <w:vAlign w:val="center"/>
          </w:tcPr>
          <w:p w14:paraId="571D2E2B">
            <w:pPr>
              <w:widowControl/>
              <w:jc w:val="center"/>
              <w:rPr>
                <w:rFonts w:hint="eastAsia" w:ascii="宋体" w:hAnsi="宋体" w:eastAsia="宋体" w:cs="宋体"/>
                <w:color w:val="auto"/>
                <w:kern w:val="0"/>
                <w:sz w:val="24"/>
                <w:szCs w:val="24"/>
                <w:highlight w:val="none"/>
              </w:rPr>
            </w:pPr>
          </w:p>
        </w:tc>
        <w:tc>
          <w:tcPr>
            <w:tcW w:w="340" w:type="pct"/>
            <w:vMerge w:val="continue"/>
            <w:vAlign w:val="center"/>
          </w:tcPr>
          <w:p w14:paraId="04D6F920">
            <w:pPr>
              <w:jc w:val="center"/>
              <w:rPr>
                <w:rFonts w:hint="eastAsia" w:ascii="宋体" w:hAnsi="宋体" w:eastAsia="宋体" w:cs="宋体"/>
                <w:color w:val="auto"/>
                <w:kern w:val="0"/>
                <w:sz w:val="24"/>
                <w:szCs w:val="24"/>
                <w:highlight w:val="none"/>
              </w:rPr>
            </w:pPr>
          </w:p>
        </w:tc>
        <w:tc>
          <w:tcPr>
            <w:tcW w:w="313" w:type="pct"/>
            <w:vMerge w:val="continue"/>
            <w:shd w:val="clear" w:color="auto" w:fill="auto"/>
            <w:vAlign w:val="center"/>
          </w:tcPr>
          <w:p w14:paraId="031B2899">
            <w:pPr>
              <w:jc w:val="center"/>
              <w:rPr>
                <w:rFonts w:hint="eastAsia" w:ascii="宋体" w:hAnsi="宋体" w:eastAsia="宋体" w:cs="宋体"/>
                <w:color w:val="auto"/>
                <w:kern w:val="0"/>
                <w:sz w:val="24"/>
                <w:szCs w:val="24"/>
                <w:highlight w:val="none"/>
              </w:rPr>
            </w:pPr>
          </w:p>
        </w:tc>
        <w:tc>
          <w:tcPr>
            <w:tcW w:w="742" w:type="pct"/>
            <w:vMerge w:val="continue"/>
            <w:shd w:val="clear" w:color="auto" w:fill="auto"/>
            <w:vAlign w:val="center"/>
          </w:tcPr>
          <w:p w14:paraId="7511E46C">
            <w:pPr>
              <w:jc w:val="center"/>
              <w:rPr>
                <w:rFonts w:hint="eastAsia" w:ascii="宋体" w:hAnsi="宋体" w:eastAsia="宋体" w:cs="宋体"/>
                <w:color w:val="auto"/>
                <w:kern w:val="0"/>
                <w:sz w:val="24"/>
                <w:szCs w:val="24"/>
                <w:highlight w:val="none"/>
              </w:rPr>
            </w:pPr>
          </w:p>
        </w:tc>
      </w:tr>
      <w:tr w14:paraId="771B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7" w:type="pct"/>
            <w:vMerge w:val="continue"/>
            <w:vAlign w:val="center"/>
          </w:tcPr>
          <w:p w14:paraId="0157BB48">
            <w:pPr>
              <w:widowControl/>
              <w:jc w:val="center"/>
              <w:rPr>
                <w:rFonts w:hint="eastAsia" w:ascii="宋体" w:hAnsi="宋体" w:eastAsia="宋体" w:cs="宋体"/>
                <w:color w:val="auto"/>
                <w:kern w:val="0"/>
                <w:sz w:val="24"/>
                <w:szCs w:val="24"/>
                <w:highlight w:val="none"/>
                <w:lang w:eastAsia="zh-CN"/>
              </w:rPr>
            </w:pPr>
          </w:p>
        </w:tc>
        <w:tc>
          <w:tcPr>
            <w:tcW w:w="378" w:type="pct"/>
            <w:shd w:val="clear" w:color="auto" w:fill="auto"/>
            <w:vAlign w:val="center"/>
          </w:tcPr>
          <w:p w14:paraId="65C6080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结构防护与安装单元</w:t>
            </w:r>
          </w:p>
        </w:tc>
        <w:tc>
          <w:tcPr>
            <w:tcW w:w="1989" w:type="pct"/>
            <w:shd w:val="clear" w:color="auto" w:fill="auto"/>
            <w:vAlign w:val="center"/>
          </w:tcPr>
          <w:p w14:paraId="046916A6">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1.各零部件进行防盐雾、防潮湿、防霉菌的处理。</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2.电子线路板、接插件、电线电缆焊接可靠。</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3.外壳：压铸铝。</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4.重量：≤1.5kg。</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5.防护等级≥IP67.</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6.PC外层镀防紫外线膜。</w:t>
            </w:r>
          </w:p>
        </w:tc>
        <w:tc>
          <w:tcPr>
            <w:tcW w:w="254" w:type="pct"/>
            <w:shd w:val="clear" w:color="auto" w:fill="auto"/>
            <w:vAlign w:val="center"/>
          </w:tcPr>
          <w:p w14:paraId="16646AE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个</w:t>
            </w:r>
          </w:p>
        </w:tc>
        <w:tc>
          <w:tcPr>
            <w:tcW w:w="304" w:type="pct"/>
            <w:shd w:val="clear" w:color="auto" w:fill="auto"/>
            <w:vAlign w:val="center"/>
          </w:tcPr>
          <w:p w14:paraId="6D516BE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2"/>
                <w:sz w:val="24"/>
                <w:szCs w:val="24"/>
                <w:highlight w:val="none"/>
                <w:u w:val="none"/>
                <w:lang w:val="en-US" w:eastAsia="zh-CN" w:bidi="ar-SA"/>
              </w:rPr>
              <w:t>15</w:t>
            </w:r>
          </w:p>
        </w:tc>
        <w:tc>
          <w:tcPr>
            <w:tcW w:w="338" w:type="pct"/>
            <w:vMerge w:val="continue"/>
            <w:shd w:val="clear" w:color="auto" w:fill="auto"/>
            <w:vAlign w:val="center"/>
          </w:tcPr>
          <w:p w14:paraId="2F5F8898">
            <w:pPr>
              <w:widowControl/>
              <w:jc w:val="center"/>
              <w:rPr>
                <w:rFonts w:hint="eastAsia" w:ascii="宋体" w:hAnsi="宋体" w:eastAsia="宋体" w:cs="宋体"/>
                <w:color w:val="auto"/>
                <w:kern w:val="0"/>
                <w:sz w:val="24"/>
                <w:szCs w:val="24"/>
                <w:highlight w:val="none"/>
              </w:rPr>
            </w:pPr>
          </w:p>
        </w:tc>
        <w:tc>
          <w:tcPr>
            <w:tcW w:w="340" w:type="pct"/>
            <w:vMerge w:val="continue"/>
            <w:vAlign w:val="center"/>
          </w:tcPr>
          <w:p w14:paraId="4F2FC875">
            <w:pPr>
              <w:jc w:val="center"/>
              <w:rPr>
                <w:rFonts w:hint="eastAsia" w:ascii="宋体" w:hAnsi="宋体" w:eastAsia="宋体" w:cs="宋体"/>
                <w:color w:val="auto"/>
                <w:kern w:val="0"/>
                <w:sz w:val="24"/>
                <w:szCs w:val="24"/>
                <w:highlight w:val="none"/>
              </w:rPr>
            </w:pPr>
          </w:p>
        </w:tc>
        <w:tc>
          <w:tcPr>
            <w:tcW w:w="313" w:type="pct"/>
            <w:vMerge w:val="continue"/>
            <w:shd w:val="clear" w:color="auto" w:fill="auto"/>
            <w:vAlign w:val="center"/>
          </w:tcPr>
          <w:p w14:paraId="6FE350BE">
            <w:pPr>
              <w:jc w:val="center"/>
              <w:rPr>
                <w:rFonts w:hint="eastAsia" w:ascii="宋体" w:hAnsi="宋体" w:eastAsia="宋体" w:cs="宋体"/>
                <w:color w:val="auto"/>
                <w:kern w:val="0"/>
                <w:sz w:val="24"/>
                <w:szCs w:val="24"/>
                <w:highlight w:val="none"/>
              </w:rPr>
            </w:pPr>
          </w:p>
        </w:tc>
        <w:tc>
          <w:tcPr>
            <w:tcW w:w="742" w:type="pct"/>
            <w:vMerge w:val="continue"/>
            <w:shd w:val="clear" w:color="auto" w:fill="auto"/>
            <w:vAlign w:val="center"/>
          </w:tcPr>
          <w:p w14:paraId="7B9EAEDE">
            <w:pPr>
              <w:jc w:val="center"/>
              <w:rPr>
                <w:rFonts w:hint="eastAsia" w:ascii="宋体" w:hAnsi="宋体" w:eastAsia="宋体" w:cs="宋体"/>
                <w:color w:val="auto"/>
                <w:kern w:val="0"/>
                <w:sz w:val="24"/>
                <w:szCs w:val="24"/>
                <w:highlight w:val="none"/>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5CF1FE3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45B0FAF9">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2EB1EC7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88A6F46"/>
    <w:rsid w:val="1D545578"/>
    <w:rsid w:val="1F4B3000"/>
    <w:rsid w:val="247A4BEB"/>
    <w:rsid w:val="26993D37"/>
    <w:rsid w:val="30291FEE"/>
    <w:rsid w:val="371E3095"/>
    <w:rsid w:val="37DC3A83"/>
    <w:rsid w:val="39333B77"/>
    <w:rsid w:val="4A5767AB"/>
    <w:rsid w:val="51D14780"/>
    <w:rsid w:val="525E5C4F"/>
    <w:rsid w:val="559940A6"/>
    <w:rsid w:val="55AA3239"/>
    <w:rsid w:val="60601D56"/>
    <w:rsid w:val="73450FE4"/>
    <w:rsid w:val="77A61258"/>
    <w:rsid w:val="7C1E1DB3"/>
    <w:rsid w:val="7E1C3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5936</Words>
  <Characters>6606</Characters>
  <Lines>0</Lines>
  <Paragraphs>0</Paragraphs>
  <TotalTime>0</TotalTime>
  <ScaleCrop>false</ScaleCrop>
  <LinksUpToDate>false</LinksUpToDate>
  <CharactersWithSpaces>6627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