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1199"/>
        <w:gridCol w:w="4478"/>
        <w:gridCol w:w="689"/>
        <w:gridCol w:w="748"/>
        <w:gridCol w:w="703"/>
        <w:gridCol w:w="1097"/>
        <w:gridCol w:w="1222"/>
        <w:gridCol w:w="2443"/>
      </w:tblGrid>
      <w:tr w14:paraId="439B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9" w:hRule="atLeast"/>
          <w:jc w:val="center"/>
        </w:trPr>
        <w:tc>
          <w:tcPr>
            <w:tcW w:w="559" w:type="pct"/>
            <w:vAlign w:val="center"/>
          </w:tcPr>
          <w:p w14:paraId="7DF8D94D">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项目名称</w:t>
            </w:r>
          </w:p>
        </w:tc>
        <w:tc>
          <w:tcPr>
            <w:tcW w:w="423" w:type="pct"/>
            <w:vAlign w:val="center"/>
          </w:tcPr>
          <w:p w14:paraId="4EB56C36">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物资名称</w:t>
            </w:r>
          </w:p>
        </w:tc>
        <w:tc>
          <w:tcPr>
            <w:tcW w:w="1580" w:type="pct"/>
            <w:vAlign w:val="center"/>
          </w:tcPr>
          <w:p w14:paraId="21053C98">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主要技术要求</w:t>
            </w:r>
          </w:p>
        </w:tc>
        <w:tc>
          <w:tcPr>
            <w:tcW w:w="243" w:type="pct"/>
            <w:vAlign w:val="center"/>
          </w:tcPr>
          <w:p w14:paraId="60F2590D">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w:t>
            </w:r>
          </w:p>
        </w:tc>
        <w:tc>
          <w:tcPr>
            <w:tcW w:w="264" w:type="pct"/>
            <w:vAlign w:val="center"/>
          </w:tcPr>
          <w:p w14:paraId="4C4F2CA7">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w:t>
            </w:r>
          </w:p>
        </w:tc>
        <w:tc>
          <w:tcPr>
            <w:tcW w:w="248" w:type="pct"/>
            <w:vAlign w:val="center"/>
          </w:tcPr>
          <w:p w14:paraId="1470CFD9">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交货日期</w:t>
            </w:r>
          </w:p>
        </w:tc>
        <w:tc>
          <w:tcPr>
            <w:tcW w:w="387" w:type="pct"/>
            <w:vAlign w:val="center"/>
          </w:tcPr>
          <w:p w14:paraId="46E26EC1">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质保期（不低于）</w:t>
            </w:r>
          </w:p>
        </w:tc>
        <w:tc>
          <w:tcPr>
            <w:tcW w:w="431" w:type="pct"/>
            <w:vAlign w:val="center"/>
          </w:tcPr>
          <w:p w14:paraId="77BFC16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交货地点</w:t>
            </w:r>
          </w:p>
        </w:tc>
        <w:tc>
          <w:tcPr>
            <w:tcW w:w="862" w:type="pct"/>
            <w:vAlign w:val="center"/>
          </w:tcPr>
          <w:p w14:paraId="4FA5BE8F">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专用业绩要求</w:t>
            </w:r>
          </w:p>
        </w:tc>
      </w:tr>
      <w:tr w14:paraId="630C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9" w:type="pct"/>
            <w:vMerge w:val="restart"/>
            <w:vAlign w:val="center"/>
          </w:tcPr>
          <w:p w14:paraId="5A42758B">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故障精密定位组件等采购项目</w:t>
            </w:r>
          </w:p>
        </w:tc>
        <w:tc>
          <w:tcPr>
            <w:tcW w:w="423" w:type="pct"/>
            <w:vAlign w:val="center"/>
          </w:tcPr>
          <w:p w14:paraId="42A4460A">
            <w:pPr>
              <w:keepNext w:val="0"/>
              <w:keepLines w:val="0"/>
              <w:widowControl/>
              <w:suppressLineNumbers w:val="0"/>
              <w:jc w:val="center"/>
              <w:textAlignment w:val="center"/>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故障综合定位电源模块</w:t>
            </w:r>
          </w:p>
        </w:tc>
        <w:tc>
          <w:tcPr>
            <w:tcW w:w="1580" w:type="pct"/>
            <w:vAlign w:val="center"/>
          </w:tcPr>
          <w:p w14:paraId="331FC0BB">
            <w:pPr>
              <w:keepNext w:val="0"/>
              <w:keepLines w:val="0"/>
              <w:widowControl/>
              <w:suppressLineNumbers w:val="0"/>
              <w:jc w:val="left"/>
              <w:textAlignment w:val="center"/>
              <w:rPr>
                <w:rFonts w:hint="eastAsia" w:ascii="宋体" w:hAnsi="宋体" w:eastAsia="宋体" w:cs="宋体"/>
                <w:b/>
                <w:bCs/>
                <w:color w:val="auto"/>
                <w:kern w:val="0"/>
                <w:sz w:val="24"/>
                <w:szCs w:val="24"/>
                <w:highlight w:val="none"/>
                <w:lang w:bidi="ar"/>
              </w:rPr>
            </w:pPr>
            <w:r>
              <w:rPr>
                <w:rFonts w:hint="eastAsia" w:ascii="宋体" w:hAnsi="宋体" w:eastAsia="宋体" w:cs="宋体"/>
                <w:i w:val="0"/>
                <w:iCs w:val="0"/>
                <w:color w:val="auto"/>
                <w:kern w:val="0"/>
                <w:sz w:val="24"/>
                <w:szCs w:val="24"/>
                <w:highlight w:val="none"/>
                <w:u w:val="none"/>
                <w:lang w:val="en-US" w:eastAsia="zh-CN" w:bidi="ar"/>
              </w:rPr>
              <w:t>输出直流电压：0—30kV连续可调；</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高压脉冲时间间隔：5s，不可调（保证充电时间）；</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防护等级≥IP43；</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尺寸 (L*W*H)：≤500*300*400mm。</w:t>
            </w:r>
          </w:p>
        </w:tc>
        <w:tc>
          <w:tcPr>
            <w:tcW w:w="243" w:type="pct"/>
            <w:shd w:val="clear" w:color="auto" w:fill="auto"/>
            <w:vAlign w:val="center"/>
          </w:tcPr>
          <w:p w14:paraId="64318A4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块</w:t>
            </w:r>
          </w:p>
        </w:tc>
        <w:tc>
          <w:tcPr>
            <w:tcW w:w="264" w:type="pct"/>
            <w:shd w:val="clear" w:color="auto" w:fill="auto"/>
            <w:vAlign w:val="center"/>
          </w:tcPr>
          <w:p w14:paraId="5B9245B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p>
        </w:tc>
        <w:tc>
          <w:tcPr>
            <w:tcW w:w="248" w:type="pct"/>
            <w:vMerge w:val="restart"/>
            <w:vAlign w:val="center"/>
          </w:tcPr>
          <w:p w14:paraId="158976B8">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接到供货通知后</w:t>
            </w:r>
            <w:r>
              <w:rPr>
                <w:rFonts w:hint="eastAsia" w:ascii="宋体" w:hAnsi="宋体" w:eastAsia="宋体" w:cs="宋体"/>
                <w:color w:val="auto"/>
                <w:kern w:val="0"/>
                <w:sz w:val="24"/>
                <w:szCs w:val="24"/>
                <w:highlight w:val="none"/>
                <w:u w:val="single"/>
              </w:rPr>
              <w:t>60</w:t>
            </w:r>
            <w:r>
              <w:rPr>
                <w:rFonts w:hint="eastAsia" w:ascii="宋体" w:hAnsi="宋体" w:eastAsia="宋体" w:cs="宋体"/>
                <w:color w:val="auto"/>
                <w:kern w:val="0"/>
                <w:sz w:val="24"/>
                <w:szCs w:val="24"/>
                <w:highlight w:val="none"/>
              </w:rPr>
              <w:t>日内</w:t>
            </w:r>
          </w:p>
        </w:tc>
        <w:tc>
          <w:tcPr>
            <w:tcW w:w="387" w:type="pct"/>
            <w:vMerge w:val="restart"/>
            <w:vAlign w:val="center"/>
          </w:tcPr>
          <w:p w14:paraId="559C2046">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36个月</w:t>
            </w:r>
          </w:p>
        </w:tc>
        <w:tc>
          <w:tcPr>
            <w:tcW w:w="431" w:type="pct"/>
            <w:vMerge w:val="restart"/>
            <w:vAlign w:val="center"/>
          </w:tcPr>
          <w:p w14:paraId="618EF671">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买方指定地点地面交货</w:t>
            </w:r>
          </w:p>
        </w:tc>
        <w:tc>
          <w:tcPr>
            <w:tcW w:w="862" w:type="pct"/>
            <w:vMerge w:val="restart"/>
            <w:vAlign w:val="center"/>
          </w:tcPr>
          <w:p w14:paraId="6C1EA199">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2023年1月1日至2025年12月31日，完成过在线监测装置或视频监拍设备等销售业绩，累计金额不低于</w:t>
            </w:r>
            <w:r>
              <w:rPr>
                <w:rFonts w:hint="eastAsia" w:ascii="宋体" w:hAnsi="宋体" w:eastAsia="宋体" w:cs="宋体"/>
                <w:color w:val="auto"/>
                <w:kern w:val="0"/>
                <w:sz w:val="24"/>
                <w:szCs w:val="24"/>
                <w:highlight w:val="none"/>
                <w:lang w:val="en-US" w:eastAsia="zh-CN"/>
              </w:rPr>
              <w:t>40</w:t>
            </w:r>
            <w:r>
              <w:rPr>
                <w:rFonts w:hint="eastAsia" w:ascii="宋体" w:hAnsi="宋体" w:eastAsia="宋体" w:cs="宋体"/>
                <w:color w:val="auto"/>
                <w:kern w:val="0"/>
                <w:sz w:val="24"/>
                <w:szCs w:val="24"/>
                <w:highlight w:val="none"/>
              </w:rPr>
              <w:t>万元。注:业绩必须提供对应的合同复印件、发票和相应查验截图。</w:t>
            </w:r>
          </w:p>
        </w:tc>
      </w:tr>
      <w:tr w14:paraId="02C8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9" w:type="pct"/>
            <w:vMerge w:val="continue"/>
            <w:vAlign w:val="center"/>
          </w:tcPr>
          <w:p w14:paraId="46B38E1F">
            <w:pPr>
              <w:widowControl/>
              <w:jc w:val="center"/>
              <w:rPr>
                <w:rFonts w:hint="eastAsia" w:ascii="宋体" w:hAnsi="宋体" w:eastAsia="宋体" w:cs="宋体"/>
                <w:color w:val="auto"/>
                <w:sz w:val="24"/>
                <w:szCs w:val="24"/>
                <w:highlight w:val="none"/>
                <w:lang w:val="en-US" w:eastAsia="zh-CN"/>
              </w:rPr>
            </w:pPr>
          </w:p>
        </w:tc>
        <w:tc>
          <w:tcPr>
            <w:tcW w:w="423" w:type="pct"/>
            <w:vAlign w:val="center"/>
          </w:tcPr>
          <w:p w14:paraId="12DD8937">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故障波反射测试组件</w:t>
            </w:r>
          </w:p>
        </w:tc>
        <w:tc>
          <w:tcPr>
            <w:tcW w:w="1580" w:type="pct"/>
            <w:vAlign w:val="center"/>
          </w:tcPr>
          <w:p w14:paraId="3B5D7E61">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测试范围：0–100 km（当 v/2 = 80 m/µs 时）；</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波速度调节：150-300m/us；</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工作模式：低压脉冲法；脉冲电流法；</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续航：连续工作时间≥5h；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防护等级≥IP53。</w:t>
            </w:r>
          </w:p>
        </w:tc>
        <w:tc>
          <w:tcPr>
            <w:tcW w:w="243" w:type="pct"/>
            <w:shd w:val="clear" w:color="auto" w:fill="auto"/>
            <w:vAlign w:val="center"/>
          </w:tcPr>
          <w:p w14:paraId="1CF13BA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264" w:type="pct"/>
            <w:shd w:val="clear" w:color="auto" w:fill="auto"/>
            <w:vAlign w:val="center"/>
          </w:tcPr>
          <w:p w14:paraId="38B913E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p>
        </w:tc>
        <w:tc>
          <w:tcPr>
            <w:tcW w:w="248" w:type="pct"/>
            <w:vMerge w:val="continue"/>
            <w:vAlign w:val="center"/>
          </w:tcPr>
          <w:p w14:paraId="6FF8F838">
            <w:pPr>
              <w:widowControl/>
              <w:jc w:val="center"/>
              <w:rPr>
                <w:rFonts w:hint="eastAsia" w:ascii="宋体" w:hAnsi="宋体" w:eastAsia="宋体" w:cs="宋体"/>
                <w:color w:val="auto"/>
                <w:kern w:val="0"/>
                <w:sz w:val="24"/>
                <w:szCs w:val="24"/>
                <w:highlight w:val="none"/>
              </w:rPr>
            </w:pPr>
          </w:p>
        </w:tc>
        <w:tc>
          <w:tcPr>
            <w:tcW w:w="387" w:type="pct"/>
            <w:vMerge w:val="continue"/>
            <w:vAlign w:val="center"/>
          </w:tcPr>
          <w:p w14:paraId="005D6190">
            <w:pPr>
              <w:jc w:val="center"/>
              <w:rPr>
                <w:rFonts w:hint="eastAsia" w:ascii="宋体" w:hAnsi="宋体" w:eastAsia="宋体" w:cs="宋体"/>
                <w:color w:val="auto"/>
                <w:kern w:val="0"/>
                <w:sz w:val="24"/>
                <w:szCs w:val="24"/>
                <w:highlight w:val="none"/>
              </w:rPr>
            </w:pPr>
          </w:p>
        </w:tc>
        <w:tc>
          <w:tcPr>
            <w:tcW w:w="431" w:type="pct"/>
            <w:vMerge w:val="continue"/>
            <w:vAlign w:val="center"/>
          </w:tcPr>
          <w:p w14:paraId="595D74D8">
            <w:pPr>
              <w:jc w:val="center"/>
              <w:rPr>
                <w:rFonts w:hint="eastAsia" w:ascii="宋体" w:hAnsi="宋体" w:eastAsia="宋体" w:cs="宋体"/>
                <w:color w:val="auto"/>
                <w:kern w:val="0"/>
                <w:sz w:val="24"/>
                <w:szCs w:val="24"/>
                <w:highlight w:val="none"/>
              </w:rPr>
            </w:pPr>
          </w:p>
        </w:tc>
        <w:tc>
          <w:tcPr>
            <w:tcW w:w="862" w:type="pct"/>
            <w:vMerge w:val="continue"/>
            <w:vAlign w:val="center"/>
          </w:tcPr>
          <w:p w14:paraId="62BDF9D6">
            <w:pPr>
              <w:jc w:val="center"/>
              <w:rPr>
                <w:rFonts w:hint="eastAsia" w:ascii="宋体" w:hAnsi="宋体" w:eastAsia="宋体" w:cs="宋体"/>
                <w:color w:val="auto"/>
                <w:kern w:val="0"/>
                <w:sz w:val="24"/>
                <w:szCs w:val="24"/>
                <w:highlight w:val="none"/>
              </w:rPr>
            </w:pPr>
          </w:p>
        </w:tc>
      </w:tr>
      <w:tr w14:paraId="7308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9" w:type="pct"/>
            <w:vMerge w:val="continue"/>
            <w:vAlign w:val="center"/>
          </w:tcPr>
          <w:p w14:paraId="28789254">
            <w:pPr>
              <w:widowControl/>
              <w:jc w:val="center"/>
              <w:rPr>
                <w:rFonts w:hint="eastAsia" w:ascii="宋体" w:hAnsi="宋体" w:eastAsia="宋体" w:cs="宋体"/>
                <w:color w:val="auto"/>
                <w:sz w:val="24"/>
                <w:szCs w:val="24"/>
                <w:highlight w:val="none"/>
                <w:lang w:val="en-US" w:eastAsia="zh-CN"/>
              </w:rPr>
            </w:pPr>
          </w:p>
        </w:tc>
        <w:tc>
          <w:tcPr>
            <w:tcW w:w="423" w:type="pct"/>
            <w:vAlign w:val="center"/>
          </w:tcPr>
          <w:p w14:paraId="22E25E6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故障精密定位组件</w:t>
            </w:r>
          </w:p>
        </w:tc>
        <w:tc>
          <w:tcPr>
            <w:tcW w:w="1580" w:type="pct"/>
            <w:vAlign w:val="center"/>
          </w:tcPr>
          <w:p w14:paraId="21574706">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TFT超亮液晶显示器，320*240彩色点阵；</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探地麦克风类型：全数字金属智能探头；</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电源：锂电池；</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滤波量程：</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全通：100Hz—1500Hz。</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低通：100Hz—400Hz。</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高通：200Hz—1500Hz。</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带通：150Hz—600Hz。</w:t>
            </w:r>
          </w:p>
        </w:tc>
        <w:tc>
          <w:tcPr>
            <w:tcW w:w="243" w:type="pct"/>
            <w:shd w:val="clear" w:color="auto" w:fill="auto"/>
            <w:vAlign w:val="center"/>
          </w:tcPr>
          <w:p w14:paraId="5D7068B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264" w:type="pct"/>
            <w:shd w:val="clear" w:color="auto" w:fill="auto"/>
            <w:vAlign w:val="center"/>
          </w:tcPr>
          <w:p w14:paraId="76F490B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p>
        </w:tc>
        <w:tc>
          <w:tcPr>
            <w:tcW w:w="248" w:type="pct"/>
            <w:vMerge w:val="continue"/>
            <w:vAlign w:val="center"/>
          </w:tcPr>
          <w:p w14:paraId="0F556341">
            <w:pPr>
              <w:widowControl/>
              <w:jc w:val="center"/>
              <w:rPr>
                <w:rFonts w:hint="eastAsia" w:ascii="宋体" w:hAnsi="宋体" w:eastAsia="宋体" w:cs="宋体"/>
                <w:color w:val="auto"/>
                <w:kern w:val="0"/>
                <w:sz w:val="24"/>
                <w:szCs w:val="24"/>
                <w:highlight w:val="none"/>
              </w:rPr>
            </w:pPr>
          </w:p>
        </w:tc>
        <w:tc>
          <w:tcPr>
            <w:tcW w:w="387" w:type="pct"/>
            <w:vMerge w:val="continue"/>
            <w:vAlign w:val="center"/>
          </w:tcPr>
          <w:p w14:paraId="1AD66E49">
            <w:pPr>
              <w:jc w:val="center"/>
              <w:rPr>
                <w:rFonts w:hint="eastAsia" w:ascii="宋体" w:hAnsi="宋体" w:eastAsia="宋体" w:cs="宋体"/>
                <w:color w:val="auto"/>
                <w:kern w:val="0"/>
                <w:sz w:val="24"/>
                <w:szCs w:val="24"/>
                <w:highlight w:val="none"/>
              </w:rPr>
            </w:pPr>
          </w:p>
        </w:tc>
        <w:tc>
          <w:tcPr>
            <w:tcW w:w="431" w:type="pct"/>
            <w:vMerge w:val="continue"/>
            <w:vAlign w:val="center"/>
          </w:tcPr>
          <w:p w14:paraId="02286CDC">
            <w:pPr>
              <w:jc w:val="center"/>
              <w:rPr>
                <w:rFonts w:hint="eastAsia" w:ascii="宋体" w:hAnsi="宋体" w:eastAsia="宋体" w:cs="宋体"/>
                <w:color w:val="auto"/>
                <w:kern w:val="0"/>
                <w:sz w:val="24"/>
                <w:szCs w:val="24"/>
                <w:highlight w:val="none"/>
              </w:rPr>
            </w:pPr>
          </w:p>
        </w:tc>
        <w:tc>
          <w:tcPr>
            <w:tcW w:w="862" w:type="pct"/>
            <w:vMerge w:val="continue"/>
            <w:vAlign w:val="center"/>
          </w:tcPr>
          <w:p w14:paraId="479C6B91">
            <w:pPr>
              <w:jc w:val="center"/>
              <w:rPr>
                <w:rFonts w:hint="eastAsia" w:ascii="宋体" w:hAnsi="宋体" w:eastAsia="宋体" w:cs="宋体"/>
                <w:color w:val="auto"/>
                <w:kern w:val="0"/>
                <w:sz w:val="24"/>
                <w:szCs w:val="24"/>
                <w:highlight w:val="none"/>
              </w:rPr>
            </w:pPr>
          </w:p>
        </w:tc>
      </w:tr>
      <w:tr w14:paraId="014C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9" w:type="pct"/>
            <w:vMerge w:val="continue"/>
            <w:vAlign w:val="center"/>
          </w:tcPr>
          <w:p w14:paraId="7AAB87FF">
            <w:pPr>
              <w:widowControl/>
              <w:jc w:val="center"/>
              <w:rPr>
                <w:rFonts w:hint="eastAsia" w:ascii="宋体" w:hAnsi="宋体" w:eastAsia="宋体" w:cs="宋体"/>
                <w:color w:val="auto"/>
                <w:sz w:val="24"/>
                <w:szCs w:val="24"/>
                <w:highlight w:val="none"/>
                <w:lang w:val="en-US" w:eastAsia="zh-CN"/>
              </w:rPr>
            </w:pPr>
          </w:p>
        </w:tc>
        <w:tc>
          <w:tcPr>
            <w:tcW w:w="423" w:type="pct"/>
            <w:vAlign w:val="center"/>
          </w:tcPr>
          <w:p w14:paraId="15DE860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智能模拟单元</w:t>
            </w:r>
          </w:p>
        </w:tc>
        <w:tc>
          <w:tcPr>
            <w:tcW w:w="1580" w:type="pct"/>
            <w:vAlign w:val="center"/>
          </w:tcPr>
          <w:p w14:paraId="3BD85A61">
            <w:pPr>
              <w:keepNext w:val="0"/>
              <w:keepLines w:val="0"/>
              <w:widowControl/>
              <w:suppressLineNumbers w:val="0"/>
              <w:jc w:val="left"/>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题库类型：入门级\专家级；</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屏幕尺寸≥11寸；</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重量≤600g；</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电压等级：0.4kV、10kV、35kV、110kV、220kV</w:t>
            </w:r>
          </w:p>
        </w:tc>
        <w:tc>
          <w:tcPr>
            <w:tcW w:w="243" w:type="pct"/>
            <w:shd w:val="clear" w:color="auto" w:fill="auto"/>
            <w:vAlign w:val="center"/>
          </w:tcPr>
          <w:p w14:paraId="600780A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个</w:t>
            </w:r>
          </w:p>
        </w:tc>
        <w:tc>
          <w:tcPr>
            <w:tcW w:w="264" w:type="pct"/>
            <w:shd w:val="clear" w:color="auto" w:fill="auto"/>
            <w:vAlign w:val="center"/>
          </w:tcPr>
          <w:p w14:paraId="4F230C6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p>
        </w:tc>
        <w:tc>
          <w:tcPr>
            <w:tcW w:w="248" w:type="pct"/>
            <w:vMerge w:val="continue"/>
            <w:vAlign w:val="center"/>
          </w:tcPr>
          <w:p w14:paraId="0F5F2268">
            <w:pPr>
              <w:widowControl/>
              <w:jc w:val="center"/>
              <w:rPr>
                <w:rFonts w:hint="eastAsia" w:ascii="宋体" w:hAnsi="宋体" w:eastAsia="宋体" w:cs="宋体"/>
                <w:color w:val="auto"/>
                <w:kern w:val="0"/>
                <w:sz w:val="24"/>
                <w:szCs w:val="24"/>
                <w:highlight w:val="none"/>
              </w:rPr>
            </w:pPr>
          </w:p>
        </w:tc>
        <w:tc>
          <w:tcPr>
            <w:tcW w:w="387" w:type="pct"/>
            <w:vMerge w:val="continue"/>
            <w:vAlign w:val="center"/>
          </w:tcPr>
          <w:p w14:paraId="60B490A3">
            <w:pPr>
              <w:jc w:val="center"/>
              <w:rPr>
                <w:rFonts w:hint="eastAsia" w:ascii="宋体" w:hAnsi="宋体" w:eastAsia="宋体" w:cs="宋体"/>
                <w:color w:val="auto"/>
                <w:kern w:val="0"/>
                <w:sz w:val="24"/>
                <w:szCs w:val="24"/>
                <w:highlight w:val="none"/>
              </w:rPr>
            </w:pPr>
          </w:p>
        </w:tc>
        <w:tc>
          <w:tcPr>
            <w:tcW w:w="431" w:type="pct"/>
            <w:vMerge w:val="continue"/>
            <w:vAlign w:val="center"/>
          </w:tcPr>
          <w:p w14:paraId="0CAB5E25">
            <w:pPr>
              <w:jc w:val="center"/>
              <w:rPr>
                <w:rFonts w:hint="eastAsia" w:ascii="宋体" w:hAnsi="宋体" w:eastAsia="宋体" w:cs="宋体"/>
                <w:color w:val="auto"/>
                <w:kern w:val="0"/>
                <w:sz w:val="24"/>
                <w:szCs w:val="24"/>
                <w:highlight w:val="none"/>
              </w:rPr>
            </w:pPr>
          </w:p>
        </w:tc>
        <w:tc>
          <w:tcPr>
            <w:tcW w:w="862" w:type="pct"/>
            <w:vMerge w:val="continue"/>
            <w:vAlign w:val="center"/>
          </w:tcPr>
          <w:p w14:paraId="1D88B784">
            <w:pPr>
              <w:jc w:val="center"/>
              <w:rPr>
                <w:rFonts w:hint="eastAsia" w:ascii="宋体" w:hAnsi="宋体" w:eastAsia="宋体" w:cs="宋体"/>
                <w:color w:val="auto"/>
                <w:kern w:val="0"/>
                <w:sz w:val="24"/>
                <w:szCs w:val="24"/>
                <w:highlight w:val="none"/>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3D2A5950">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60804C5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42A1FF54">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08B25DD9"/>
    <w:rsid w:val="19D30C16"/>
    <w:rsid w:val="1F4B3000"/>
    <w:rsid w:val="247A4BEB"/>
    <w:rsid w:val="37DC3A83"/>
    <w:rsid w:val="39333B77"/>
    <w:rsid w:val="4A5767AB"/>
    <w:rsid w:val="51D14780"/>
    <w:rsid w:val="525E5C4F"/>
    <w:rsid w:val="55AA3239"/>
    <w:rsid w:val="60601D56"/>
    <w:rsid w:val="73450FE4"/>
    <w:rsid w:val="742B5717"/>
    <w:rsid w:val="77A61258"/>
    <w:rsid w:val="7C1E1DB3"/>
    <w:rsid w:val="7E453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5648</Words>
  <Characters>6320</Characters>
  <Lines>0</Lines>
  <Paragraphs>0</Paragraphs>
  <TotalTime>0</TotalTime>
  <ScaleCrop>false</ScaleCrop>
  <LinksUpToDate>false</LinksUpToDate>
  <CharactersWithSpaces>6346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