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188"/>
        <w:gridCol w:w="5961"/>
        <w:gridCol w:w="683"/>
        <w:gridCol w:w="891"/>
        <w:gridCol w:w="960"/>
        <w:gridCol w:w="824"/>
        <w:gridCol w:w="974"/>
        <w:gridCol w:w="1712"/>
      </w:tblGrid>
      <w:tr w14:paraId="3F61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418" w:type="pct"/>
            <w:vAlign w:val="center"/>
          </w:tcPr>
          <w:p w14:paraId="7BBF6A3F">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项目名称</w:t>
            </w:r>
          </w:p>
        </w:tc>
        <w:tc>
          <w:tcPr>
            <w:tcW w:w="412" w:type="pct"/>
            <w:shd w:val="clear" w:color="auto" w:fill="auto"/>
            <w:vAlign w:val="center"/>
          </w:tcPr>
          <w:p w14:paraId="575E4BAA">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物资名称</w:t>
            </w:r>
          </w:p>
        </w:tc>
        <w:tc>
          <w:tcPr>
            <w:tcW w:w="2068" w:type="pct"/>
            <w:shd w:val="clear" w:color="auto" w:fill="auto"/>
            <w:vAlign w:val="center"/>
          </w:tcPr>
          <w:p w14:paraId="213C88D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主要技术要求</w:t>
            </w:r>
          </w:p>
        </w:tc>
        <w:tc>
          <w:tcPr>
            <w:tcW w:w="237" w:type="pct"/>
            <w:shd w:val="clear" w:color="auto" w:fill="auto"/>
            <w:vAlign w:val="center"/>
          </w:tcPr>
          <w:p w14:paraId="33A3E09E">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单位</w:t>
            </w:r>
          </w:p>
        </w:tc>
        <w:tc>
          <w:tcPr>
            <w:tcW w:w="309" w:type="pct"/>
            <w:shd w:val="clear" w:color="auto" w:fill="auto"/>
            <w:vAlign w:val="center"/>
          </w:tcPr>
          <w:p w14:paraId="36F1D7C3">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数量</w:t>
            </w:r>
          </w:p>
        </w:tc>
        <w:tc>
          <w:tcPr>
            <w:tcW w:w="333" w:type="pct"/>
            <w:shd w:val="clear" w:color="auto" w:fill="auto"/>
            <w:vAlign w:val="center"/>
          </w:tcPr>
          <w:p w14:paraId="1FA410B8">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交货日期</w:t>
            </w:r>
          </w:p>
        </w:tc>
        <w:tc>
          <w:tcPr>
            <w:tcW w:w="286" w:type="pct"/>
            <w:vAlign w:val="center"/>
          </w:tcPr>
          <w:p w14:paraId="4D7C2C67">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质保期（不低于）</w:t>
            </w:r>
          </w:p>
        </w:tc>
        <w:tc>
          <w:tcPr>
            <w:tcW w:w="338" w:type="pct"/>
            <w:shd w:val="clear" w:color="auto" w:fill="auto"/>
            <w:vAlign w:val="center"/>
          </w:tcPr>
          <w:p w14:paraId="0A20FE46">
            <w:pPr>
              <w:keepNext w:val="0"/>
              <w:keepLines w:val="0"/>
              <w:widowControl/>
              <w:suppressLineNumbers w:val="0"/>
              <w:spacing w:before="0" w:beforeAutospacing="0" w:after="0" w:afterAutospacing="0"/>
              <w:ind w:left="0" w:right="0"/>
              <w:jc w:val="center"/>
              <w:rPr>
                <w:rFonts w:hint="eastAsia" w:ascii="宋体" w:hAnsi="宋体" w:eastAsia="宋体" w:cs="宋体"/>
                <w:b/>
                <w:bCs/>
                <w:color w:val="000000" w:themeColor="text1"/>
                <w:kern w:val="0"/>
                <w:sz w:val="24"/>
                <w:szCs w:val="24"/>
                <w:highlight w:val="none"/>
                <w14:textFill>
                  <w14:solidFill>
                    <w14:schemeClr w14:val="tx1"/>
                  </w14:solidFill>
                </w14:textFill>
              </w:rPr>
            </w:pPr>
            <w:r>
              <w:rPr>
                <w:rFonts w:hint="eastAsia" w:ascii="宋体" w:hAnsi="宋体" w:eastAsia="宋体" w:cs="宋体"/>
                <w:b/>
                <w:bCs/>
                <w:color w:val="000000" w:themeColor="text1"/>
                <w:kern w:val="0"/>
                <w:sz w:val="24"/>
                <w:szCs w:val="24"/>
                <w:highlight w:val="none"/>
                <w14:textFill>
                  <w14:solidFill>
                    <w14:schemeClr w14:val="tx1"/>
                  </w14:solidFill>
                </w14:textFill>
              </w:rPr>
              <w:t>交货地点</w:t>
            </w:r>
          </w:p>
        </w:tc>
        <w:tc>
          <w:tcPr>
            <w:tcW w:w="594" w:type="pct"/>
            <w:shd w:val="clear" w:color="auto" w:fill="auto"/>
            <w:vAlign w:val="center"/>
          </w:tcPr>
          <w:p w14:paraId="19468DD1">
            <w:pPr>
              <w:keepNext w:val="0"/>
              <w:keepLines w:val="0"/>
              <w:widowControl/>
              <w:suppressLineNumbers w:val="0"/>
              <w:spacing w:before="0" w:beforeAutospacing="0" w:after="0" w:afterAutospacing="0"/>
              <w:ind w:left="0" w:right="0"/>
              <w:jc w:val="center"/>
              <w:rPr>
                <w:rFonts w:hint="default" w:ascii="宋体" w:hAnsi="宋体" w:eastAsia="宋体" w:cs="宋体"/>
                <w:b/>
                <w:bCs/>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14:textFill>
                  <w14:solidFill>
                    <w14:schemeClr w14:val="tx1"/>
                  </w14:solidFill>
                </w14:textFill>
              </w:rPr>
              <w:t>专用业绩要求</w:t>
            </w:r>
          </w:p>
        </w:tc>
      </w:tr>
      <w:tr w14:paraId="32FA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8" w:type="pct"/>
            <w:vMerge w:val="restart"/>
            <w:vAlign w:val="center"/>
          </w:tcPr>
          <w:p w14:paraId="2143451C">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sz w:val="24"/>
                <w:szCs w:val="24"/>
                <w:highlight w:val="none"/>
                <w:lang w:val="en-US" w:eastAsia="zh-CN"/>
              </w:rPr>
              <w:t>激光发射单元等组件采购项目</w:t>
            </w:r>
          </w:p>
        </w:tc>
        <w:tc>
          <w:tcPr>
            <w:tcW w:w="412" w:type="pct"/>
            <w:shd w:val="clear" w:color="auto" w:fill="auto"/>
            <w:vAlign w:val="center"/>
          </w:tcPr>
          <w:p w14:paraId="35C66CD8">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激光发射单元</w:t>
            </w:r>
          </w:p>
        </w:tc>
        <w:tc>
          <w:tcPr>
            <w:tcW w:w="2068" w:type="pct"/>
            <w:shd w:val="clear" w:color="auto" w:fill="auto"/>
            <w:vAlign w:val="center"/>
          </w:tcPr>
          <w:p w14:paraId="013E9A38">
            <w:pPr>
              <w:keepNext w:val="0"/>
              <w:keepLines w:val="0"/>
              <w:widowControl/>
              <w:suppressLineNumbers w:val="0"/>
              <w:jc w:val="left"/>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激光中心波长:1080±10 nm；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激光输出功率≥1000 W，功率可调范围 10%～100%；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激光出光计数器:内置计数，平均无故障工作≥5000次；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有效作用距离≥300 m。</w:t>
            </w:r>
          </w:p>
        </w:tc>
        <w:tc>
          <w:tcPr>
            <w:tcW w:w="237" w:type="pct"/>
            <w:shd w:val="clear" w:color="auto" w:fill="auto"/>
            <w:vAlign w:val="center"/>
          </w:tcPr>
          <w:p w14:paraId="32BBDA63">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309" w:type="pct"/>
            <w:shd w:val="clear" w:color="000000" w:fill="FFFFFF"/>
            <w:vAlign w:val="center"/>
          </w:tcPr>
          <w:p w14:paraId="0D8EB462">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w:t>
            </w:r>
          </w:p>
        </w:tc>
        <w:tc>
          <w:tcPr>
            <w:tcW w:w="333" w:type="pct"/>
            <w:vMerge w:val="restart"/>
            <w:shd w:val="clear" w:color="auto" w:fill="auto"/>
            <w:vAlign w:val="center"/>
          </w:tcPr>
          <w:p w14:paraId="66A2B9E5">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接到供货通知后</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single"/>
                <w14:textFill>
                  <w14:solidFill>
                    <w14:schemeClr w14:val="tx1"/>
                  </w14:solidFill>
                </w14:textFill>
              </w:rPr>
              <w:t>0</w:t>
            </w:r>
            <w:r>
              <w:rPr>
                <w:rFonts w:hint="eastAsia" w:ascii="宋体" w:hAnsi="宋体" w:eastAsia="宋体" w:cs="宋体"/>
                <w:color w:val="000000" w:themeColor="text1"/>
                <w:kern w:val="0"/>
                <w:sz w:val="24"/>
                <w:szCs w:val="24"/>
                <w:highlight w:val="none"/>
                <w14:textFill>
                  <w14:solidFill>
                    <w14:schemeClr w14:val="tx1"/>
                  </w14:solidFill>
                </w14:textFill>
              </w:rPr>
              <w:t>日内</w:t>
            </w:r>
          </w:p>
        </w:tc>
        <w:tc>
          <w:tcPr>
            <w:tcW w:w="286" w:type="pct"/>
            <w:vMerge w:val="restart"/>
            <w:vAlign w:val="center"/>
          </w:tcPr>
          <w:p w14:paraId="79FCFF29">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36个月</w:t>
            </w:r>
          </w:p>
        </w:tc>
        <w:tc>
          <w:tcPr>
            <w:tcW w:w="338" w:type="pct"/>
            <w:vMerge w:val="restart"/>
            <w:shd w:val="clear" w:color="auto" w:fill="auto"/>
            <w:vAlign w:val="center"/>
          </w:tcPr>
          <w:p w14:paraId="390BFC25">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买方指定地点地面交货</w:t>
            </w:r>
          </w:p>
        </w:tc>
        <w:tc>
          <w:tcPr>
            <w:tcW w:w="594" w:type="pct"/>
            <w:vMerge w:val="restart"/>
            <w:shd w:val="clear" w:color="auto" w:fill="auto"/>
            <w:vAlign w:val="center"/>
          </w:tcPr>
          <w:p w14:paraId="48543679">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sz w:val="24"/>
                <w:szCs w:val="24"/>
                <w:highlight w:val="none"/>
                <w:lang w:val="en-US" w:eastAsia="zh-CN"/>
              </w:rPr>
              <w:t>2023年1月1日至2025年12月31日，完成过激光指向仪、激光切割机等销售业绩，累计金额不低于100万元。注:业绩必须提供对应的合同复印件、发票和相应查验截图。</w:t>
            </w:r>
          </w:p>
        </w:tc>
      </w:tr>
      <w:tr w14:paraId="1959A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8" w:type="pct"/>
            <w:vMerge w:val="continue"/>
            <w:vAlign w:val="center"/>
          </w:tcPr>
          <w:p w14:paraId="5D224BB6">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412" w:type="pct"/>
            <w:shd w:val="clear" w:color="auto" w:fill="auto"/>
            <w:vAlign w:val="center"/>
          </w:tcPr>
          <w:p w14:paraId="5F6CD6BF">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观测单元</w:t>
            </w:r>
          </w:p>
        </w:tc>
        <w:tc>
          <w:tcPr>
            <w:tcW w:w="2068" w:type="pct"/>
            <w:shd w:val="clear" w:color="auto" w:fill="auto"/>
            <w:vAlign w:val="center"/>
          </w:tcPr>
          <w:p w14:paraId="3E6EA008">
            <w:pPr>
              <w:keepNext w:val="0"/>
              <w:keepLines w:val="0"/>
              <w:widowControl/>
              <w:suppressLineNumbers w:val="0"/>
              <w:jc w:val="left"/>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放大倍数:光学变焦≥60倍，电子变焦≥10倍；</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图像显示:≥200万像素，分辨率≥1080P；</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夜视功能:夜视距离100m可看清目标物。</w:t>
            </w:r>
          </w:p>
        </w:tc>
        <w:tc>
          <w:tcPr>
            <w:tcW w:w="237" w:type="pct"/>
            <w:shd w:val="clear" w:color="auto" w:fill="auto"/>
            <w:vAlign w:val="center"/>
          </w:tcPr>
          <w:p w14:paraId="07EC6A77">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309" w:type="pct"/>
            <w:shd w:val="clear" w:color="000000" w:fill="FFFFFF"/>
            <w:vAlign w:val="center"/>
          </w:tcPr>
          <w:p w14:paraId="2D3CF69D">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w:t>
            </w:r>
          </w:p>
        </w:tc>
        <w:tc>
          <w:tcPr>
            <w:tcW w:w="333" w:type="pct"/>
            <w:vMerge w:val="continue"/>
            <w:shd w:val="clear" w:color="auto" w:fill="auto"/>
            <w:vAlign w:val="center"/>
          </w:tcPr>
          <w:p w14:paraId="56D31802">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286" w:type="pct"/>
            <w:vMerge w:val="continue"/>
            <w:vAlign w:val="center"/>
          </w:tcPr>
          <w:p w14:paraId="57D119F4">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338" w:type="pct"/>
            <w:vMerge w:val="continue"/>
            <w:shd w:val="clear" w:color="auto" w:fill="auto"/>
            <w:vAlign w:val="center"/>
          </w:tcPr>
          <w:p w14:paraId="2F505A51">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594" w:type="pct"/>
            <w:vMerge w:val="continue"/>
            <w:shd w:val="clear" w:color="auto" w:fill="auto"/>
            <w:vAlign w:val="center"/>
          </w:tcPr>
          <w:p w14:paraId="52A01332">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BF47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3" w:hRule="atLeast"/>
          <w:jc w:val="center"/>
        </w:trPr>
        <w:tc>
          <w:tcPr>
            <w:tcW w:w="418" w:type="pct"/>
            <w:vMerge w:val="continue"/>
            <w:vAlign w:val="center"/>
          </w:tcPr>
          <w:p w14:paraId="5A1A675D">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412" w:type="pct"/>
            <w:shd w:val="clear" w:color="auto" w:fill="auto"/>
            <w:vAlign w:val="center"/>
          </w:tcPr>
          <w:p w14:paraId="68E77FAB">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结构单元</w:t>
            </w:r>
          </w:p>
        </w:tc>
        <w:tc>
          <w:tcPr>
            <w:tcW w:w="2068" w:type="pct"/>
            <w:shd w:val="clear" w:color="auto" w:fill="auto"/>
            <w:vAlign w:val="center"/>
          </w:tcPr>
          <w:p w14:paraId="0CC1C37C">
            <w:pPr>
              <w:keepNext w:val="0"/>
              <w:keepLines w:val="0"/>
              <w:widowControl/>
              <w:suppressLineNumbers w:val="0"/>
              <w:jc w:val="left"/>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主机箱尺寸重量:外形≤640mm×470mm×300mm，重量≤24kg；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外壳材质:激光发射与瞄准装置铝锭一次铣削；主机箱/移动电源铝合金外壳；禁用3D打印/塑料箱；</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携行方式:背负携行系统，主机箱可手提也可单人背负。</w:t>
            </w:r>
          </w:p>
        </w:tc>
        <w:tc>
          <w:tcPr>
            <w:tcW w:w="237" w:type="pct"/>
            <w:shd w:val="clear" w:color="auto" w:fill="auto"/>
            <w:vAlign w:val="center"/>
          </w:tcPr>
          <w:p w14:paraId="687F12E5">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309" w:type="pct"/>
            <w:shd w:val="clear" w:color="000000" w:fill="FFFFFF"/>
            <w:vAlign w:val="center"/>
          </w:tcPr>
          <w:p w14:paraId="5856B2DA">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w:t>
            </w:r>
          </w:p>
        </w:tc>
        <w:tc>
          <w:tcPr>
            <w:tcW w:w="333" w:type="pct"/>
            <w:vMerge w:val="continue"/>
            <w:shd w:val="clear" w:color="auto" w:fill="auto"/>
            <w:vAlign w:val="center"/>
          </w:tcPr>
          <w:p w14:paraId="3ABA6C97">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286" w:type="pct"/>
            <w:vMerge w:val="continue"/>
            <w:vAlign w:val="center"/>
          </w:tcPr>
          <w:p w14:paraId="7F266F37">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338" w:type="pct"/>
            <w:vMerge w:val="continue"/>
            <w:shd w:val="clear" w:color="auto" w:fill="auto"/>
            <w:vAlign w:val="center"/>
          </w:tcPr>
          <w:p w14:paraId="500D85D7">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594" w:type="pct"/>
            <w:vMerge w:val="continue"/>
            <w:shd w:val="clear" w:color="auto" w:fill="auto"/>
            <w:vAlign w:val="center"/>
          </w:tcPr>
          <w:p w14:paraId="287A0531">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62F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8" w:type="pct"/>
            <w:vMerge w:val="continue"/>
            <w:vAlign w:val="center"/>
          </w:tcPr>
          <w:p w14:paraId="652379C9">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412" w:type="pct"/>
            <w:shd w:val="clear" w:color="auto" w:fill="auto"/>
            <w:vAlign w:val="center"/>
          </w:tcPr>
          <w:p w14:paraId="61C96F0B">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远程控制单元</w:t>
            </w:r>
          </w:p>
        </w:tc>
        <w:tc>
          <w:tcPr>
            <w:tcW w:w="2068" w:type="pct"/>
            <w:shd w:val="clear" w:color="auto" w:fill="auto"/>
            <w:vAlign w:val="center"/>
          </w:tcPr>
          <w:p w14:paraId="34D97D34">
            <w:pPr>
              <w:keepNext w:val="0"/>
              <w:keepLines w:val="0"/>
              <w:widowControl/>
              <w:suppressLineNumbers w:val="0"/>
              <w:jc w:val="left"/>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控制终端：便携式平板电脑，显示屏幕≥10.4英寸；</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录像拍照功能：可实时进行存储视频和拍照，并能回放、导出；</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自动测距功能：操控软件可自动测量设备与障碍物之间的距离，出光点能够根据测量的距离参数聚焦烧蚀，无需其他辅助测量仪器。</w:t>
            </w:r>
          </w:p>
        </w:tc>
        <w:tc>
          <w:tcPr>
            <w:tcW w:w="237" w:type="pct"/>
            <w:shd w:val="clear" w:color="auto" w:fill="auto"/>
            <w:vAlign w:val="center"/>
          </w:tcPr>
          <w:p w14:paraId="5C6EA1EB">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309" w:type="pct"/>
            <w:shd w:val="clear" w:color="000000" w:fill="FFFFFF"/>
            <w:vAlign w:val="center"/>
          </w:tcPr>
          <w:p w14:paraId="0E6B7DFB">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w:t>
            </w:r>
          </w:p>
        </w:tc>
        <w:tc>
          <w:tcPr>
            <w:tcW w:w="333" w:type="pct"/>
            <w:vMerge w:val="continue"/>
            <w:shd w:val="clear" w:color="auto" w:fill="auto"/>
            <w:vAlign w:val="center"/>
          </w:tcPr>
          <w:p w14:paraId="136641E4">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286" w:type="pct"/>
            <w:vMerge w:val="continue"/>
            <w:vAlign w:val="center"/>
          </w:tcPr>
          <w:p w14:paraId="33AF44F7">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338" w:type="pct"/>
            <w:vMerge w:val="continue"/>
            <w:shd w:val="clear" w:color="auto" w:fill="auto"/>
            <w:vAlign w:val="center"/>
          </w:tcPr>
          <w:p w14:paraId="0A3BA843">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594" w:type="pct"/>
            <w:vMerge w:val="continue"/>
            <w:shd w:val="clear" w:color="auto" w:fill="auto"/>
            <w:vAlign w:val="center"/>
          </w:tcPr>
          <w:p w14:paraId="26E95524">
            <w:pPr>
              <w:keepNext w:val="0"/>
              <w:keepLines w:val="0"/>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7B03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8" w:type="pct"/>
            <w:vMerge w:val="continue"/>
            <w:vAlign w:val="center"/>
          </w:tcPr>
          <w:p w14:paraId="04A5BDAE">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412" w:type="pct"/>
            <w:shd w:val="clear" w:color="auto" w:fill="auto"/>
            <w:vAlign w:val="center"/>
          </w:tcPr>
          <w:p w14:paraId="06B72A94">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云台组件</w:t>
            </w:r>
          </w:p>
        </w:tc>
        <w:tc>
          <w:tcPr>
            <w:tcW w:w="2068" w:type="pct"/>
            <w:shd w:val="clear" w:color="auto" w:fill="auto"/>
            <w:vAlign w:val="center"/>
          </w:tcPr>
          <w:p w14:paraId="00AC900F">
            <w:pPr>
              <w:keepNext w:val="0"/>
              <w:keepLines w:val="0"/>
              <w:widowControl/>
              <w:suppressLineNumbers w:val="0"/>
              <w:jc w:val="left"/>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转向控制通过平板与云台无线连接的方式来实现；转向精度≤0.0012°，实现快速瞄准，云台转动范围应至少满足水平0~360°、垂直0~360°；</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云台采用无线遥控，需具有“快速”、“中速”、“慢速”三档调速，针对每一档，需可进行微调，每档微调速度20档。</w:t>
            </w:r>
          </w:p>
        </w:tc>
        <w:tc>
          <w:tcPr>
            <w:tcW w:w="237" w:type="pct"/>
            <w:shd w:val="clear" w:color="auto" w:fill="auto"/>
            <w:vAlign w:val="center"/>
          </w:tcPr>
          <w:p w14:paraId="6E1B9064">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309" w:type="pct"/>
            <w:shd w:val="clear" w:color="000000" w:fill="FFFFFF"/>
            <w:vAlign w:val="center"/>
          </w:tcPr>
          <w:p w14:paraId="6AD0D6FE">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w:t>
            </w:r>
          </w:p>
        </w:tc>
        <w:tc>
          <w:tcPr>
            <w:tcW w:w="333" w:type="pct"/>
            <w:vMerge w:val="continue"/>
            <w:shd w:val="clear" w:color="auto" w:fill="auto"/>
            <w:vAlign w:val="center"/>
          </w:tcPr>
          <w:p w14:paraId="5E966956">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286" w:type="pct"/>
            <w:vMerge w:val="continue"/>
            <w:vAlign w:val="center"/>
          </w:tcPr>
          <w:p w14:paraId="632A29C4">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338" w:type="pct"/>
            <w:vMerge w:val="continue"/>
            <w:shd w:val="clear" w:color="auto" w:fill="auto"/>
            <w:vAlign w:val="center"/>
          </w:tcPr>
          <w:p w14:paraId="5D84E37A">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594" w:type="pct"/>
            <w:vMerge w:val="continue"/>
            <w:shd w:val="clear" w:color="auto" w:fill="auto"/>
            <w:vAlign w:val="center"/>
          </w:tcPr>
          <w:p w14:paraId="3F745807">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r w14:paraId="30FC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7" w:hRule="atLeast"/>
          <w:jc w:val="center"/>
        </w:trPr>
        <w:tc>
          <w:tcPr>
            <w:tcW w:w="418" w:type="pct"/>
            <w:vMerge w:val="continue"/>
            <w:vAlign w:val="center"/>
          </w:tcPr>
          <w:p w14:paraId="5228E0F0">
            <w:pPr>
              <w:keepNext w:val="0"/>
              <w:keepLines w:val="0"/>
              <w:widowControl/>
              <w:suppressLineNumbers w:val="0"/>
              <w:spacing w:before="0" w:beforeAutospacing="0" w:after="0" w:afterAutospacing="0"/>
              <w:ind w:left="0" w:right="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412" w:type="pct"/>
            <w:shd w:val="clear" w:color="auto" w:fill="auto"/>
            <w:vAlign w:val="center"/>
          </w:tcPr>
          <w:p w14:paraId="208CA69D">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供电单元</w:t>
            </w:r>
          </w:p>
        </w:tc>
        <w:tc>
          <w:tcPr>
            <w:tcW w:w="2068" w:type="pct"/>
            <w:shd w:val="clear" w:color="auto" w:fill="auto"/>
            <w:vAlign w:val="center"/>
          </w:tcPr>
          <w:p w14:paraId="517DE624">
            <w:pPr>
              <w:keepNext w:val="0"/>
              <w:keepLines w:val="0"/>
              <w:widowControl/>
              <w:suppressLineNumbers w:val="0"/>
              <w:jc w:val="left"/>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i w:val="0"/>
                <w:iCs w:val="0"/>
                <w:color w:val="000000"/>
                <w:kern w:val="0"/>
                <w:sz w:val="24"/>
                <w:szCs w:val="24"/>
                <w:highlight w:val="none"/>
                <w:u w:val="none"/>
                <w:lang w:val="en-US" w:eastAsia="zh-CN" w:bidi="ar"/>
              </w:rPr>
              <w:t>采用便携式直流电源供电，电源电压110V，电源外尺寸≤360×170×275mm，总重量≤21kg；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移动电源采用铝合金外壳，内部核心为锂电池组，电源满负荷工作时间≥60分钟，待机时长≥24h。</w:t>
            </w:r>
          </w:p>
        </w:tc>
        <w:tc>
          <w:tcPr>
            <w:tcW w:w="237" w:type="pct"/>
            <w:shd w:val="clear" w:color="auto" w:fill="auto"/>
            <w:vAlign w:val="center"/>
          </w:tcPr>
          <w:p w14:paraId="699AF04E">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309" w:type="pct"/>
            <w:shd w:val="clear" w:color="000000" w:fill="FFFFFF"/>
            <w:vAlign w:val="center"/>
          </w:tcPr>
          <w:p w14:paraId="0B31E47C">
            <w:pPr>
              <w:keepNext w:val="0"/>
              <w:keepLines w:val="0"/>
              <w:widowControl/>
              <w:suppressLineNumbers w:val="0"/>
              <w:jc w:val="center"/>
              <w:textAlignment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w:t>
            </w:r>
          </w:p>
        </w:tc>
        <w:tc>
          <w:tcPr>
            <w:tcW w:w="333" w:type="pct"/>
            <w:vMerge w:val="continue"/>
            <w:shd w:val="clear" w:color="auto" w:fill="auto"/>
            <w:vAlign w:val="center"/>
          </w:tcPr>
          <w:p w14:paraId="2DBB4EC2">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286" w:type="pct"/>
            <w:vMerge w:val="continue"/>
            <w:vAlign w:val="center"/>
          </w:tcPr>
          <w:p w14:paraId="1AC9DCBF">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338" w:type="pct"/>
            <w:vMerge w:val="continue"/>
            <w:shd w:val="clear" w:color="auto" w:fill="auto"/>
            <w:vAlign w:val="center"/>
          </w:tcPr>
          <w:p w14:paraId="712BC462">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14:textFill>
                  <w14:solidFill>
                    <w14:schemeClr w14:val="tx1"/>
                  </w14:solidFill>
                </w14:textFill>
              </w:rPr>
            </w:pPr>
          </w:p>
        </w:tc>
        <w:tc>
          <w:tcPr>
            <w:tcW w:w="594" w:type="pct"/>
            <w:vMerge w:val="continue"/>
            <w:shd w:val="clear" w:color="auto" w:fill="auto"/>
            <w:vAlign w:val="center"/>
          </w:tcPr>
          <w:p w14:paraId="2FF7398A">
            <w:pPr>
              <w:keepNext w:val="0"/>
              <w:keepLines w:val="0"/>
              <w:suppressLineNumbers w:val="0"/>
              <w:spacing w:before="0" w:beforeAutospacing="0" w:after="0" w:afterAutospacing="0"/>
              <w:ind w:left="0" w:leftChars="0" w:right="0" w:rightChars="0"/>
              <w:jc w:val="center"/>
              <w:rPr>
                <w:rFonts w:hint="eastAsia" w:ascii="宋体" w:hAnsi="宋体" w:eastAsia="宋体" w:cs="宋体"/>
                <w:color w:val="000000" w:themeColor="text1"/>
                <w:kern w:val="0"/>
                <w:sz w:val="24"/>
                <w:szCs w:val="24"/>
                <w:highlight w:val="none"/>
                <w14:textFill>
                  <w14:solidFill>
                    <w14:schemeClr w14:val="tx1"/>
                  </w14:solidFill>
                </w14:textFill>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14807DB5">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备注：1.取得《国家电网有限公司集中规模招标采购供应商资质能力核实证明》</w:t>
      </w:r>
      <w:r>
        <w:rPr>
          <w:rFonts w:hint="eastAsia" w:ascii="宋体" w:hAnsi="宋体" w:eastAsia="宋体" w:cs="宋体"/>
          <w:color w:val="auto"/>
          <w:sz w:val="21"/>
          <w:szCs w:val="21"/>
          <w:highlight w:val="none"/>
          <w:lang w:eastAsia="zh-CN"/>
        </w:rPr>
        <w:t>或《国网智能科技股份有限公司集中规模招标采购供应商资质能力核实证明》</w:t>
      </w:r>
      <w:r>
        <w:rPr>
          <w:rFonts w:hint="eastAsia" w:ascii="宋体" w:hAnsi="宋体" w:eastAsia="宋体" w:cs="宋体"/>
          <w:color w:val="auto"/>
          <w:sz w:val="21"/>
          <w:szCs w:val="21"/>
          <w:highlight w:val="none"/>
        </w:rPr>
        <w:t>（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5B84B0A3">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2.投标文件中提供的证明材料复印件应复印清晰、可辨认且不得遮盖、涂抹，否则视为无效。</w:t>
      </w:r>
    </w:p>
    <w:p w14:paraId="1D21651A">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HorizontalSpacing w:val="210"/>
  <w:drawingGridVerticalSpacing w:val="156"/>
  <w:displayHorizontalDrawingGridEvery w:val="1"/>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F4B3000"/>
    <w:rsid w:val="247A4BEB"/>
    <w:rsid w:val="37DC3A83"/>
    <w:rsid w:val="39333B77"/>
    <w:rsid w:val="4A5767AB"/>
    <w:rsid w:val="51D14780"/>
    <w:rsid w:val="525E5C4F"/>
    <w:rsid w:val="55AA3239"/>
    <w:rsid w:val="60601D56"/>
    <w:rsid w:val="686E14AC"/>
    <w:rsid w:val="687568A8"/>
    <w:rsid w:val="69523735"/>
    <w:rsid w:val="73450FE4"/>
    <w:rsid w:val="745C4ECF"/>
    <w:rsid w:val="75CD0551"/>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5928</Words>
  <Characters>6569</Characters>
  <Lines>0</Lines>
  <Paragraphs>0</Paragraphs>
  <TotalTime>0</TotalTime>
  <ScaleCrop>false</ScaleCrop>
  <LinksUpToDate>false</LinksUpToDate>
  <CharactersWithSpaces>6592</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