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3"/>
        <w:gridCol w:w="1227"/>
        <w:gridCol w:w="5196"/>
        <w:gridCol w:w="743"/>
        <w:gridCol w:w="814"/>
        <w:gridCol w:w="1185"/>
        <w:gridCol w:w="1313"/>
        <w:gridCol w:w="1332"/>
        <w:gridCol w:w="1332"/>
      </w:tblGrid>
      <w:tr w14:paraId="15A6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3079">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2EDBB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8" w:hRule="atLeast"/>
        </w:trPr>
        <w:tc>
          <w:tcPr>
            <w:tcW w:w="361"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紫外检测单元、安全接入网关等采购项目</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边缘节点</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AEA7">
            <w:pPr>
              <w:keepNext w:val="0"/>
              <w:keepLines w:val="0"/>
              <w:widowControl/>
              <w:suppressLineNumbers w:val="0"/>
              <w:jc w:val="left"/>
              <w:textAlignment w:val="center"/>
              <w:rPr>
                <w:rFonts w:hint="eastAsia" w:ascii="宋体" w:hAnsi="宋体" w:eastAsia="宋体" w:cs="宋体"/>
                <w:sz w:val="24"/>
                <w:szCs w:val="24"/>
                <w:lang w:val="en-US"/>
              </w:rPr>
            </w:pPr>
            <w:r>
              <w:rPr>
                <w:rFonts w:hint="eastAsia" w:ascii="宋体" w:hAnsi="宋体" w:eastAsia="宋体" w:cs="宋体"/>
                <w:i w:val="0"/>
                <w:iCs w:val="0"/>
                <w:color w:val="000000"/>
                <w:kern w:val="0"/>
                <w:sz w:val="24"/>
                <w:szCs w:val="24"/>
                <w:u w:val="none"/>
                <w:lang w:val="en-US" w:eastAsia="zh-CN" w:bidi="ar"/>
              </w:rPr>
              <w:t>CPU不低于2.0GHz主频，不低于8核；内存不低于32G；不低于8T 机械硬盘；；2*1GE PCIE标准网卡；配置双热插拔冗余电源；满足电力标准机柜（2260*800*600）安装。</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restart"/>
            <w:tcBorders>
              <w:top w:val="single" w:color="000000" w:sz="4" w:space="0"/>
              <w:left w:val="single" w:color="000000" w:sz="4" w:space="0"/>
              <w:right w:val="single" w:color="000000" w:sz="4" w:space="0"/>
            </w:tcBorders>
            <w:shd w:val="clear" w:color="auto" w:fill="auto"/>
            <w:vAlign w:val="center"/>
          </w:tcPr>
          <w:p w14:paraId="32ED03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0"/>
                <w:sz w:val="24"/>
                <w:szCs w:val="24"/>
              </w:rPr>
              <w:t>2023年1月1日至</w:t>
            </w:r>
            <w:r>
              <w:rPr>
                <w:rFonts w:hint="eastAsia" w:ascii="宋体" w:hAnsi="宋体" w:eastAsia="宋体" w:cs="宋体"/>
                <w:kern w:val="0"/>
                <w:sz w:val="24"/>
                <w:szCs w:val="24"/>
                <w:lang w:val="en-US" w:eastAsia="zh-CN"/>
              </w:rPr>
              <w:t>2025年12月31日</w:t>
            </w:r>
            <w:r>
              <w:rPr>
                <w:rFonts w:hint="eastAsia" w:ascii="宋体" w:hAnsi="宋体" w:eastAsia="宋体" w:cs="宋体"/>
                <w:kern w:val="0"/>
                <w:sz w:val="24"/>
                <w:szCs w:val="24"/>
              </w:rPr>
              <w:t>止，完成过</w:t>
            </w:r>
            <w:r>
              <w:rPr>
                <w:rFonts w:hint="eastAsia" w:ascii="宋体" w:hAnsi="宋体" w:eastAsia="宋体" w:cs="宋体"/>
                <w:kern w:val="0"/>
                <w:sz w:val="24"/>
                <w:szCs w:val="24"/>
                <w:lang w:val="en-US" w:eastAsia="zh-CN"/>
              </w:rPr>
              <w:t>智巡系统或辅控系统或组部件（</w:t>
            </w:r>
            <w:r>
              <w:rPr>
                <w:rFonts w:hint="eastAsia" w:ascii="宋体" w:hAnsi="宋体" w:eastAsia="宋体" w:cs="宋体"/>
                <w:kern w:val="0"/>
                <w:sz w:val="24"/>
                <w:szCs w:val="24"/>
              </w:rPr>
              <w:t>摄像机或</w:t>
            </w:r>
            <w:r>
              <w:rPr>
                <w:rFonts w:hint="eastAsia" w:ascii="宋体" w:hAnsi="宋体" w:eastAsia="宋体" w:cs="宋体"/>
                <w:kern w:val="0"/>
                <w:sz w:val="24"/>
                <w:szCs w:val="24"/>
                <w:lang w:val="en-US" w:eastAsia="zh-CN"/>
              </w:rPr>
              <w:t>机器人或信息化设备）</w:t>
            </w:r>
            <w:r>
              <w:rPr>
                <w:rFonts w:hint="eastAsia" w:ascii="宋体" w:hAnsi="宋体" w:eastAsia="宋体" w:cs="宋体"/>
                <w:kern w:val="0"/>
                <w:sz w:val="24"/>
                <w:szCs w:val="24"/>
              </w:rPr>
              <w:t>销售业绩不少于1份，累计金额不低于</w:t>
            </w:r>
            <w:r>
              <w:rPr>
                <w:rFonts w:hint="eastAsia" w:ascii="宋体" w:hAnsi="宋体" w:eastAsia="宋体" w:cs="宋体"/>
                <w:kern w:val="0"/>
                <w:sz w:val="24"/>
                <w:szCs w:val="24"/>
                <w:lang w:val="en-US" w:eastAsia="zh-CN"/>
              </w:rPr>
              <w:t>150</w:t>
            </w:r>
            <w:r>
              <w:rPr>
                <w:rFonts w:hint="eastAsia" w:ascii="宋体" w:hAnsi="宋体" w:eastAsia="宋体" w:cs="宋体"/>
                <w:kern w:val="0"/>
                <w:sz w:val="24"/>
                <w:szCs w:val="24"/>
              </w:rPr>
              <w:t>万元。注:业绩必须提供对应的合同复印件、发票和相应查验截图。</w:t>
            </w:r>
          </w:p>
        </w:tc>
      </w:tr>
      <w:tr w14:paraId="68F4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8" w:hRule="atLeast"/>
        </w:trPr>
        <w:tc>
          <w:tcPr>
            <w:tcW w:w="361" w:type="pct"/>
            <w:vMerge w:val="continue"/>
            <w:tcBorders>
              <w:left w:val="single" w:color="000000" w:sz="4" w:space="0"/>
              <w:right w:val="single" w:color="000000" w:sz="4" w:space="0"/>
            </w:tcBorders>
            <w:shd w:val="clear" w:color="auto" w:fill="auto"/>
            <w:vAlign w:val="center"/>
          </w:tcPr>
          <w:p w14:paraId="0EB9B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0D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核心交换机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630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千兆交换机，≥24口，三层交换机，冗余电源，24个1000M电口，4个1000M光口</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5E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DB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8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E8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3A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1C922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F0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361" w:type="pct"/>
            <w:vMerge w:val="continue"/>
            <w:tcBorders>
              <w:left w:val="single" w:color="000000" w:sz="4" w:space="0"/>
              <w:right w:val="single" w:color="000000" w:sz="4" w:space="0"/>
            </w:tcBorders>
            <w:shd w:val="clear" w:color="auto" w:fill="auto"/>
            <w:vAlign w:val="center"/>
          </w:tcPr>
          <w:p w14:paraId="00D6AA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8F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安全接入网关</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F23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终端接入能力：单台设备可接入不少于 3 个安全接入模块，可接入无人机、巡检机器人等移动终端设备。</w:t>
            </w:r>
          </w:p>
          <w:p w14:paraId="03519F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安全加密能力：支持国密算法，实现终端身份鉴别、业务流量加密传输，满足电力物联网边界安全防护要求。</w:t>
            </w:r>
          </w:p>
          <w:p w14:paraId="593D0E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访问控制与审计：支持访问策略配置，具备日志记录、行为审计、异常告警功能，告警信息可上传至安全管理平台。</w:t>
            </w:r>
          </w:p>
          <w:p w14:paraId="192A248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部署形态：19 英寸标准机架式安装，适配电力标准机柜，支持网口对接业务网络。</w:t>
            </w:r>
          </w:p>
          <w:p w14:paraId="0BB92CE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管理运维：支持本地 / 远程配置管理，具备链路状态监测，非法终端接入可实时阻断并上报告警。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FC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C4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E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D0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79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23FAF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111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A8FCE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F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网络安全防火墙</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76B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标准1U机架式设备；</w:t>
            </w:r>
          </w:p>
          <w:p w14:paraId="60DB95F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具备≥9个千兆电口，≥1个RJ45 Console接口，1个USB接口，双电源；</w:t>
            </w:r>
          </w:p>
          <w:p w14:paraId="23C83F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性能参数：吞吐率(bps)≥1.5Gbps，最大并发连接数≥60万；</w:t>
            </w:r>
          </w:p>
          <w:p w14:paraId="1EDA877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每秒新建连接数≥1.2万，提供100个SSL VPN并发用户数，SSL VPN并发用户数支持扩展到500个；</w:t>
            </w:r>
          </w:p>
          <w:p w14:paraId="1618E4D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设备自主可控。</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95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A0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C1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E9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34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DC892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6EC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361" w:type="pct"/>
            <w:vMerge w:val="continue"/>
            <w:tcBorders>
              <w:left w:val="single" w:color="000000" w:sz="4" w:space="0"/>
              <w:right w:val="single" w:color="000000" w:sz="4" w:space="0"/>
            </w:tcBorders>
            <w:shd w:val="clear" w:color="auto" w:fill="auto"/>
            <w:vAlign w:val="center"/>
          </w:tcPr>
          <w:p w14:paraId="28CBF6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7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正向隔离装置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2387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千兆隔离；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4个100/1000M接口（2个内网、2个外网）；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1个100/1000M双机热备接口（或与通信接口复用）；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2个终端管理接口（RS-232）；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设备厚度 1U，冗余电源；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数据包有效网络吞吐率 ≥500Mbps（100条安全策略，1024字节报文长度）；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数据转发延时 ≤10ms；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满负荷数据包丢弃率 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平均无故障时间（MTBF） ＞50000h（100％负荷）；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返回确认报文长度 ≤1bit；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满足《电力二次系统安全告警日志格式规范》要求。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2C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D6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0B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57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E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EAC46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52F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28196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CE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反向隔离装置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DF1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千兆隔离；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4个100/1000M接口（2个内网、2个外网）；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1个100/1000M双机热备接口（或与通信接口复用）；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2个终端管理接口（RS-232）；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设备厚度 1U，冗余电源；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数据包有效网络吞吐率≥245Mbps（100条安全策略，1024字节报文长度）；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数据转发延时 ≤10ms；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满负荷数据包丢弃率 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平均无故障时间（MTBF） ＞50000h（100％负荷）；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返回确认报文长度 ≤1bit；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满足《电力二次系统安全告警日志格式规范》要求。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79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152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73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74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65E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A459D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FBA2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3" w:hRule="atLeast"/>
        </w:trPr>
        <w:tc>
          <w:tcPr>
            <w:tcW w:w="361" w:type="pct"/>
            <w:vMerge w:val="continue"/>
            <w:tcBorders>
              <w:left w:val="single" w:color="000000" w:sz="4" w:space="0"/>
              <w:right w:val="single" w:color="000000" w:sz="4" w:space="0"/>
            </w:tcBorders>
            <w:shd w:val="clear" w:color="auto" w:fill="auto"/>
            <w:vAlign w:val="center"/>
          </w:tcPr>
          <w:p w14:paraId="000469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8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机柜</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660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尺寸：2260*800*600；包含显示器、键盘、鼠标、切换器、PDU、电源线等配件</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B2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8D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22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0F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8F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18F0C6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96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115DB5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E5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硬盘录像机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04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不低于32路8T接入、满足国网通讯规约及结果数量的需求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5F8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A2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509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B47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4B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DEB33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DDB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3AFEB9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53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848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8T</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98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4B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4F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90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F1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1DA590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D54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3" w:hRule="atLeast"/>
        </w:trPr>
        <w:tc>
          <w:tcPr>
            <w:tcW w:w="361" w:type="pct"/>
            <w:vMerge w:val="continue"/>
            <w:tcBorders>
              <w:left w:val="single" w:color="000000" w:sz="4" w:space="0"/>
              <w:right w:val="single" w:color="000000" w:sz="4" w:space="0"/>
            </w:tcBorders>
            <w:shd w:val="clear" w:color="auto" w:fill="auto"/>
            <w:vAlign w:val="center"/>
          </w:tcPr>
          <w:p w14:paraId="6B7FEB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18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视频综合电源</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7ED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输入AC220V，输出DC12V/24V、机架式</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CC4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B7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6A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9E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C0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C51BA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80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1994EF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0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汇聚交换机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FB6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端口与转发性能：配置 不低于16 个 1000Base</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X SFP千兆光口，支持 SFP 光模块热插拔；交换容量≥56Gbps，包转发率≥42Mpps。</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网络协议与业务能力：三层网管型，支持静态路由、RSTP/MSTP 环网协议，支持 ERPS 环网自愈；支持 VLAN 划分、IGMP Snooping 组播、端口 QoS 队列调度，适配电力视频流优先级传输。</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管理与运维：支持 Web、CLI、SNMP、SSH 多种管理方式；具备端口镜像、风暴抑制、日志告警、链路状态监测功能，可将设备状态上传至变电站监控平台。</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供电与可靠性：支持 AC220V/DC24V 双冗余电源输入，具备过压、过流、防反接保护；19 英寸机架式安装，满足机房机柜部署，故障可输出干接点告警信号。</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环境与电磁兼容：工作温度 - 20℃～+60℃，满足变电站机房环境；符合电力 EMC 电磁兼容标准。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D0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3F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6F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94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95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A19FA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AE19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2035F3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70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机柜</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A6D2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尺寸：2260*800*600；包含显示器、键盘、鼠标、切换器、视频延长器、PDU、电源线等配件</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E6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2E2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E3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C6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E36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24F6E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22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13B68C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666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展示屏幕</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7B7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显示性能：屏幕尺寸 100 英寸，16:9，4K 物理分辨率 3840×2160；亮度≥450cd/㎡，对比度≥5000:1，10bit 色深，水平 / 垂直 178° 广视角，支持多路监控视频同时分屏显示。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接口输入：配备多路 HDMI2.0 视频输入、RJ45 网口、USB 接口；支持 4K 视频信号接入，可接入交换机输出的机器人巡检视频、热成像、紫外图像信号，支持画面分割开窗。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可靠性运行：商用工业面板，支持 7×24 小时不间断工作，面板寿命≥50000 小时；整机带钢化防护玻璃，防刮防撞，具备过热保护，防止长时间显示烧屏。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控制管理：支持 RS232 串口远程控制，可后台切换信号源、开关机；支持信号丢失告警；支持壁挂安装，兼容标准 VESA 挂装接口，适配监控室机柜墙面部署。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环境适应性：工作温度 0℃</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40℃，湿度 10%</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80% 无凝露；AC220V 供电，具备漏电保护，满足监控机房室内使用要求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86D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ADE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5D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26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F2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425FC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62D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A684C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BDB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飞行巡检终端</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5EC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飞行器对角线轴距≤490mm；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飞行器通讯距离：≥15km（FCC）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飞行器具备不低于IP43防护等级；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飞行器裸机重量≤1750 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飞行器最大起飞重量≥2050 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飞行器最长飞行时间≥45min；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飞行器电池容量≥8000mah；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飞行器最大上升速度≥8m/s；最大下降速度≥6m/s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9飞行器具备一键/失联/低电量返航、一键起飞/降落功能；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飞行器具备长焦相机，传感器≥1/2英寸CMOS、有效像素数≥4800万、光学变焦≥10倍、混合变焦≥160倍；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具备广角相机，有效像素≥4800万；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红外传感器分辨率≥640*512；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飞行器具备六向视觉系统，辅以机身底部具备红外传感器；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飞行器具备移动目标跟踪功能。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无人机自动充电机库与匹配的无人机为同一生产厂家。</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90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96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01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98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A8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435D2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246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7B176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4B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基站</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BA7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尺寸≤700×600×400mm（关闭舱门时）；尺寸≤1400×600×400mm（开启舱门时）；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设备重量≤50kg；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机库设备具备不低于IP55的防护等级；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设备理想情况最大作业半径≥8公里；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机库支持RTK基站、支持夜间精准降落；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设备峰值功耗≤1000W；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机库充电时长≤35min （10%-90%）；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设备具备防冻功能，支持舱盖加热；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设备内置应急电源，续航时间≥5小时；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设备具备舱内温度和湿度以及风速、雨量、烟雾、振动、浸水检测功能；机库支持跳飞功能；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设备具备内置空调系统；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支持双摄监控，可监控控舱内和舱外情况；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设备具备防雷功能；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机库支持协议开放，支持开放API；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4G通信：支持插入SIM卡通信，无需增加额外模块；</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EA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E2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4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86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8D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879E0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DB0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2F13C9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8E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飞行巡检终端服务器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CC8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CPU主频：不低于2.0GHz；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内存容量：不低于64GB；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硬盘容量：不低于32TB；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2*1GE PCIE标准网卡；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满足电力标准机柜；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国产安全操作系统</w:t>
            </w:r>
            <w:r>
              <w:rPr>
                <w:rFonts w:hint="eastAsia" w:ascii="宋体" w:hAnsi="宋体" w:eastAsia="宋体" w:cs="宋体"/>
                <w:snapToGrid w:val="0"/>
                <w:color w:val="auto"/>
                <w:kern w:val="0"/>
                <w:sz w:val="24"/>
                <w:szCs w:val="24"/>
                <w:highlight w:val="none"/>
                <w:lang w:val="en-US" w:eastAsia="zh-CN"/>
              </w:rPr>
              <w:t>。</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2E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F1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EA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15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B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6A480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B93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1DAC9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7F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室内简易巡视终端壳体</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8C3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1）有保护涂层或有防腐设计；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2）外壳表面应光洁、均匀，不应有伤痕、毛刺等其他缺陷，标识清晰；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3）应采取必要的防静电及防电磁场干扰措施；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4）外壳和电器部件的外壳均不应带电；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5）外壳防护性能应≥IP40。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6）尺寸不超过Φ600mm；</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2F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0E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548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11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27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C5FFD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FC7F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79424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D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室内简易巡视终端运动底盘</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951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1）差速轮式驱动；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2）适用于电力系统户内，并在频率为50Hz的电场环境下可正常运行；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3）最大速度应不小于1.0m/s；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4）轨道转弯半径≤0.3 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5）导航：3D激光导航；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6）自动导航定位重复定位误差≤±20mm；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7）可自主行驶通道宽度≥ 0.8m；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8）应具备前进方向的避障功能，并具备原地掉头能力；在不小于 0.5m/s 的运动速度下，对于不在地图中的障碍物、孔洞能正确触发避障功能（制动距离 应不大于 0.5m），并进行避让处理，整个行进过程中机器人不接触障碍物。</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5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08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E2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8DD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135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DBE4A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B8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752387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B1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室内简易巡视终端检测模组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1A3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1）不少于4颗1600万摄像机；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2）高清摄像头在最小 0.8m 的巡视通道上，通过图像拼接的组合视野应覆盖 2.2m 高的屏柜，且内容完整、轮廓清晰；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3）具有补光灯调整能力；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4）具备遥控手动或自动对焦功能；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5）单个屏柜并拍照的平均用时应不大于 30s；</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DD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A1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48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17A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4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E528A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881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61" w:type="pct"/>
            <w:vMerge w:val="continue"/>
            <w:tcBorders>
              <w:left w:val="single" w:color="000000" w:sz="4" w:space="0"/>
              <w:right w:val="single" w:color="000000" w:sz="4" w:space="0"/>
            </w:tcBorders>
            <w:shd w:val="clear" w:color="auto" w:fill="auto"/>
            <w:vAlign w:val="center"/>
          </w:tcPr>
          <w:p w14:paraId="744FFD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66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室内简易巡视终端通讯模组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20E4F">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1)采用无线网络协议及加密WIFI双模传输协议。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2)加装符合国网网络安全要求的安全加密装置。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3)本体与简易机器人机站通讯采用不小于 100Mbps 带宽的无线通讯接口；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4)机站与巡视主机通讯采用 100Mbps/1000Mbps 自适应以太网物理介质的通讯接口。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5）无线通讯距离应不小于 100m ，可通过添加中继的方式扩展到 200m；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远程控制延时小于500ms ，远程控制的数据帧率不小于10Hz;能将图片、视频等数据实时传输到机器人机站，并上传巡视主机；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6）含安全接入模块。</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E5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4D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F6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62B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20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B950F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C1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1AE3E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FC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室内简易巡视终端机站</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C1AE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1）外壳应接地；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2）工作电压：AC220V/50Hz；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3）额定输出电压：最高不应超过 DC 58V ，纹波小于±2%；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4）具备过流、过压、过温、防拉弧等保护功能。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5）安全等级要求：符合 GB/T 36276-2023 文件要求；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6）安装位置：固定于主控室、高压室地面或者墙壁，所留空间应能容纳机器人完成自动充电所需的任意行动轨迹和空间。</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8F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65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3E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52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52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28767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990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3237C0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14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室内简易巡视终端电源模块</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C80C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1）具备过欠压、过温、过充、过放保护， 以及剩余电量、电芯温度信息上报功能；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2）电池从10%充电到 90% ，时间不大于3小时；且充满后进入待机状态；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3）完成一次完整充电后，简易机器人开展巡视和拍摄任务期间，电池续航时间不小于 5h ，且供电稳定可靠。在-10℃~0℃温度范围下电池一次充电续航能力不小于4h；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4）电池充放电次数不小于 1500 次，1000 次充放电后剩余容量不小于80%；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5）锂电池宜且支持快速更换。</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B8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8D0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38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0FC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AF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430C0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584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7D06D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70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足式运动底盘</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57E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负载与自重：整机含电池约60kg；行走持续负载≥40kg，可承载白光、热成像、紫外、驱离全套机载载荷；站立最大负载≥120kg。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续航供电：电池不低于58V，2250Wh 大容量锂电；空载续航≥5h，20kg 负载续航≥4h；支持快速换电池、适配自主充电仓对接充电。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运动越障性能：最大行走速度≥1.5m/s（巡检限速）；可攀爬 25cm 台阶，爬坡角度≥45°，可跨越壕沟；适应变电站碎石、水泥、台阶复杂地面。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环境防护：≥IP67，工作温度</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20℃～+55℃，防尘防水，可在雨雪、低温户外变电站长期作业；机身提供丰富外接 IO、网口，便于挂载第三方云台相机载荷。</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感知与算力底盘：搭载机载工控，标配激光雷达 + 深度视觉感知；支持自主导航、路径规划、避障；提供 SDK/API 接口，可对接电力巡检平台，上传位置、状态、告警数据。</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DB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7D0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16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5B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76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EEF3E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7D4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47D6B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FB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白光检测模组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B55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白光摄像机：不低于400 万像素星光级 CMOS，分辨率≥2560×1440，低照度 0.005lux；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光学变焦：不低于32 倍光学变焦，16 倍数字变倍，支持预置点定位，适配设备仪表读数识别；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智能算法：AI 识别指针、压板、指示灯、异物，支持抓图、录像、异常事件告警；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视频编码：H.265 + 智能编码，网口输出，支持边缘本地存储，可对接电力平台；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机载环境：三轴云台减震，适应机器人行进震动；工作温度</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30℃～+55℃，机载轻量化设计。</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02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E2A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1B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E5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65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83305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96C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33D03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38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红外检测模组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A9C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探测器规格：非制冷氧化钒探测器，分辨率≥640×512，NETD≤40mK，波段8</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14μm；</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测温性能：测温范围</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20℃～+550℃，测温精度±2℃或读数 ±2%（取较大值），支持点、线、框测温；</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图像功能：多种伪彩模式，热光图像融合，温度超阈值自动告警抓拍；</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镜头视场：定焦无热化镜头，视场角 ≥25°×19°，适配变压器、开关柜远距离测温巡检；</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接口与功耗：网络数字输出，低功耗适配机载供电；支持温度数据叠加视频流上传后台</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84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98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16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12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F4B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B2ABF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680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06D65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4CF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紫外检测模组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9C8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检测原理：紫外荧光激发检测，AI 识别变压器绝缘油荧光特征，识别早期渗油痕迹；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识别距离：有效渗漏油识别距离≤20m，可识别微小油迹，紫外补光一体化集成；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成像配置：不低于400万可见光通道，紫外专用光学窗口，滤除环境杂光干扰；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告警能力：渗油异常触发抓拍、录像，输出告警信号，可标记渗漏位置坐标；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环境适配：抗震动机载结构，</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30℃～+50℃工作温度，兼容四足机器人云台俯仰旋转。</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63E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79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7C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8D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D9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2F8B9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E669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99F7A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32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驱离模组</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1EE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成像参数：不低于200 万高清分辨率，定焦广角镜头，实时画面复核入侵目标；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驱离输出：集成强声光警示，高分贝语音喇叭 + 爆闪强光，远程触发声光驱离；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智能侦测：移动侦测、人形 AI 识别，检测到闯入人员自动联动声光告警；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控制接口：网络协议控制，支持后台手动 / 自动触发驱离动作，视频同步回传；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机载防护：轻量化防水外壳，适应户外高低温、振动环境。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FD3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2E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A8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7CF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49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CA6ED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92D6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418389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DF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充电仓</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623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供电输入：AC220V±15%，50Hz，额定输入功率≥3kW，具备浪涌、防雷保护，适配变电站现场供电条件；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自动对接与充电：支持机器人自主导航入仓、高精度触点对接；恒流恒压快充，具备 SOC 智能管理，充满自动停充，防止过充；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通信与状态上传：支持网口对接巡检平台，实时上传仓体状态、充电进度、故障告警；提供标准 API，可联动机器人任务调度；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防护与环境：不低于IP54防护等级，工作温度 - 30℃～+50℃；具备仓内温湿度监测、通风散热，防雨防尘，户外变电站长期部署；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安全保护功能：集成短路、过压、过流、漏电、高温保护；机器人未就位禁止上电，异常故障自动切断输出并上传告警信息。</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81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F3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CF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971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DDB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9B0C2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02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62D689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5F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球型网络摄像机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79EF">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不低于200万像素；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不小于20倍光学变焦；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Smart图像增强:透雾、电子防抖、背光补偿、宽动态；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运动范围:水平0-360°连续旋转，垂直+90°～ -90°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74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2B3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26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10B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31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F6C54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FE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7CEE09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7E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红外热成像摄像机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2BC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分辨率：热成像≥640×480；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热灵敏度：≤40mK；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测温范围：-20℃～+500℃；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温度分辨率：0.1℃；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精度：±2℃或±2%(读数范围),取大值；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测温距离范围：应不小于6～20米；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宽动态：≥100dB；信噪比：≥55dB；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具备点测温、区域测温等功能</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85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DC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07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F9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29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81786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45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B24BC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04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紫外检测单元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D4E0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检测原理：紫外荧光激发检测，AI算法识别绝缘油荧光特征，支持渗漏油越阈值报警、录像抓图联动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光学变焦：不低于32 倍光学变焦，支持预置点巡航巡检，可对变压器套管、法兰、焊缝等重点部位定位巡检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有效检测距离：渗漏油识别有效距离≤20m，可识别微小早期渗油痕迹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可见光分辨率：≥400万像素（2560×1440）星光级 CMOS，低照度成像，昼夜可用；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云台转动范围：水平 360° 连续旋转，垂直</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90°~+40°，带位置自纠偏，预置点定位精度高</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防护等级：不低于IP66 防尘防水，自带雨刷，可清洁紫外镜头窗口</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工作温湿度：</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30℃～+50℃，湿度＜95% 无凝结</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编码与存储：H.265 + 智能编码，支持 SD 卡本地存储，网络输出告警信息，可接入电力平台；供电 AC24V</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843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D3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14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52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587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4CF21F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71C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E548E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03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微型摄像机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560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分辨率：≥400 万像素；（2560×1440），1/2.7 英寸 CMOS，ICR 红外滤片，红外夜视距离≥10m；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镜头规格：定焦 2.8mm，M12 接口，水平视场角约105°，支持角度三维调节；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编码与智能：H.265 + 智能编码，支持移动侦测、越界侦测，SD 卡本地存储，可接入监控平台输出告警信号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供电方式：DC12V/PoE802.3af 双供电，整机最大功耗≤4.2W；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环境适应性：工作温度</w:t>
            </w:r>
            <w:r>
              <w:rPr>
                <w:rFonts w:hint="eastAsia" w:ascii="宋体" w:hAnsi="宋体" w:eastAsia="宋体" w:cs="宋体"/>
                <w:i w:val="0"/>
                <w:iCs w:val="0"/>
                <w:color w:val="000000"/>
                <w:kern w:val="0"/>
                <w:sz w:val="24"/>
                <w:szCs w:val="24"/>
                <w:u w:val="none"/>
                <w:lang w:val="en-US" w:eastAsia="zh-CN" w:bidi="ar"/>
              </w:rPr>
              <w:noBreakHyphen/>
            </w:r>
            <w:r>
              <w:rPr>
                <w:rStyle w:val="13"/>
                <w:rFonts w:hint="eastAsia" w:ascii="宋体" w:hAnsi="宋体" w:eastAsia="宋体" w:cs="宋体"/>
                <w:sz w:val="24"/>
                <w:szCs w:val="24"/>
                <w:lang w:val="en-US" w:eastAsia="zh-CN" w:bidi="ar"/>
              </w:rPr>
              <w:t>10℃～+50℃，湿度95%无凝露；</w:t>
            </w:r>
            <w:r>
              <w:rPr>
                <w:rStyle w:val="13"/>
                <w:rFonts w:hint="eastAsia" w:ascii="宋体" w:hAnsi="宋体" w:eastAsia="宋体" w:cs="宋体"/>
                <w:sz w:val="24"/>
                <w:szCs w:val="24"/>
                <w:lang w:val="en-US" w:eastAsia="zh-CN" w:bidi="ar"/>
              </w:rPr>
              <w:br w:type="textWrapping"/>
            </w:r>
            <w:r>
              <w:rPr>
                <w:rStyle w:val="13"/>
                <w:rFonts w:hint="eastAsia" w:ascii="宋体" w:hAnsi="宋体" w:eastAsia="宋体" w:cs="宋体"/>
                <w:sz w:val="24"/>
                <w:szCs w:val="24"/>
                <w:lang w:val="en-US" w:eastAsia="zh-CN" w:bidi="ar"/>
              </w:rPr>
              <w:t>支持内置拾音，可采集现场音频。</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D7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933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BF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82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72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596DE0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9F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61" w:type="pct"/>
            <w:vMerge w:val="continue"/>
            <w:tcBorders>
              <w:left w:val="single" w:color="000000" w:sz="4" w:space="0"/>
              <w:right w:val="single" w:color="000000" w:sz="4" w:space="0"/>
            </w:tcBorders>
            <w:shd w:val="clear" w:color="auto" w:fill="auto"/>
            <w:vAlign w:val="center"/>
          </w:tcPr>
          <w:p w14:paraId="205299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F0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汇聚端子箱</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7B1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不锈钢304材质，含背包空调、光纤设备、光电转换模块、电源模块、防雷器等辅材。</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8E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92D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65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31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C8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91520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11B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361" w:type="pct"/>
            <w:vMerge w:val="continue"/>
            <w:tcBorders>
              <w:left w:val="single" w:color="000000" w:sz="4" w:space="0"/>
              <w:right w:val="single" w:color="000000" w:sz="4" w:space="0"/>
            </w:tcBorders>
            <w:shd w:val="clear" w:color="auto" w:fill="auto"/>
            <w:vAlign w:val="center"/>
          </w:tcPr>
          <w:p w14:paraId="2DC354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1A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信号放大及接收装置</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2C7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工作频段：采用 5.8GHz 工业无线频段，支持点对点远距离无线传输，信道可手动配置，规避变电站电磁干扰。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传输性能：带宽≥300Mbps，视距传输距离≥2km，低时延，满足机器人多路高清视频、热成像、紫外图像实时回传。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抗干扰能力：内置数字滤波与信号增益调节，具备抗多径干扰、电磁抑制功能，适配变电站强电磁环境。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供电与接口：DC24V 供电，支持 PoE 供电；网口 RJ45 输出，可对接机器人机载设备与后台监控平台。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环境适应性：IP65 防护等级，工作温度 - 30℃～+55℃，支持信号强度监测、链路中断告警，户外立杆安装</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79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4F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435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4B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A3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bottom w:val="single" w:color="000000" w:sz="4" w:space="0"/>
              <w:right w:val="single" w:color="000000" w:sz="4" w:space="0"/>
            </w:tcBorders>
            <w:shd w:val="clear" w:color="auto" w:fill="auto"/>
            <w:vAlign w:val="center"/>
          </w:tcPr>
          <w:p w14:paraId="482CC2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val="en-US" w:eastAsia="zh-CN" w:bidi="ar-SA"/>
        </w:rPr>
        <w:t>具体供货不局限于上述产品。应包括</w:t>
      </w:r>
      <w:r>
        <w:rPr>
          <w:rFonts w:hint="eastAsia" w:ascii="宋体" w:hAnsi="宋体" w:eastAsia="宋体" w:cs="宋体"/>
          <w:color w:val="auto"/>
          <w:kern w:val="2"/>
          <w:sz w:val="21"/>
          <w:szCs w:val="21"/>
          <w:highlight w:val="none"/>
          <w:lang w:eastAsia="zh-CN" w:bidi="ar-SA"/>
        </w:rPr>
        <w:t>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83D3E95"/>
    <w:rsid w:val="1F4B3000"/>
    <w:rsid w:val="247A4BEB"/>
    <w:rsid w:val="37DC3A83"/>
    <w:rsid w:val="39333B77"/>
    <w:rsid w:val="3DA7627B"/>
    <w:rsid w:val="4A5767AB"/>
    <w:rsid w:val="51D14780"/>
    <w:rsid w:val="525E5C4F"/>
    <w:rsid w:val="55AA3239"/>
    <w:rsid w:val="60601D56"/>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 w:type="character" w:customStyle="1" w:styleId="13">
    <w:name w:val="font1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5024</Words>
  <Characters>5578</Characters>
  <Lines>0</Lines>
  <Paragraphs>0</Paragraphs>
  <TotalTime>0</TotalTime>
  <ScaleCrop>false</ScaleCrop>
  <LinksUpToDate>false</LinksUpToDate>
  <CharactersWithSpaces>5599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