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05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8"/>
        <w:gridCol w:w="979"/>
        <w:gridCol w:w="7136"/>
        <w:gridCol w:w="476"/>
        <w:gridCol w:w="576"/>
        <w:gridCol w:w="790"/>
        <w:gridCol w:w="1044"/>
        <w:gridCol w:w="871"/>
        <w:gridCol w:w="1688"/>
      </w:tblGrid>
      <w:tr w14:paraId="78FB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6" w:hRule="atLeast"/>
        </w:trPr>
        <w:tc>
          <w:tcPr>
            <w:tcW w:w="2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D9F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B3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物资名称</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89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主要技术要求</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BC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39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28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交货日期</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E34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质保期（不低于）</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D6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交货地点</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09074">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专用业绩要求</w:t>
            </w:r>
          </w:p>
        </w:tc>
      </w:tr>
      <w:tr w14:paraId="7F45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3" w:hRule="atLeast"/>
        </w:trPr>
        <w:tc>
          <w:tcPr>
            <w:tcW w:w="267" w:type="pct"/>
            <w:vMerge w:val="restart"/>
            <w:tcBorders>
              <w:top w:val="single" w:color="000000" w:sz="4" w:space="0"/>
              <w:left w:val="single" w:color="000000" w:sz="4" w:space="0"/>
              <w:right w:val="single" w:color="000000" w:sz="4" w:space="0"/>
            </w:tcBorders>
            <w:shd w:val="clear" w:color="auto" w:fill="auto"/>
            <w:vAlign w:val="center"/>
          </w:tcPr>
          <w:p w14:paraId="50DE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辅助控制单元、声音识别模块等采购项目</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8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行走底盘组件</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DA82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履带行走机构：底盘总重量≤380kg，外形（长宽高）≤1200×800×1000mm； 离地间隙≤100mm，越障高度≥150mm，爬坡≥70%；侧倾稳定角≥37°转弯直径≤1500mm；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驱动电机总成：额定功率 2×2kW，遥控行进速度≥2m/s，牵引力≥2.7kN，直线跑偏量≤1.2%，制动距离≤0.12m；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防撞避障装置：超声波传感器检测到障碍物后停止运行；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喷淋降温装置：双重水幕喷淋降温。</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D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94E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0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4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A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restart"/>
            <w:tcBorders>
              <w:top w:val="single" w:color="000000" w:sz="4" w:space="0"/>
              <w:left w:val="single" w:color="000000" w:sz="4" w:space="0"/>
              <w:right w:val="single" w:color="000000" w:sz="4" w:space="0"/>
            </w:tcBorders>
            <w:shd w:val="clear" w:color="auto" w:fill="auto"/>
            <w:vAlign w:val="center"/>
          </w:tcPr>
          <w:p w14:paraId="336ECA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0"/>
                <w:sz w:val="24"/>
                <w:szCs w:val="24"/>
              </w:rPr>
              <w:t>2023年1月1日至2025年12月31日止，完成过智巡系统或辅控系统或组部件（摄像机或机器人或信息化组件）销售业绩累计金额不低于350万元。注:业绩必须提供对应的合同复印件、发票和相应查验截图。</w:t>
            </w:r>
          </w:p>
        </w:tc>
      </w:tr>
      <w:tr w14:paraId="20B06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267" w:type="pct"/>
            <w:vMerge w:val="continue"/>
            <w:tcBorders>
              <w:left w:val="single" w:color="000000" w:sz="4" w:space="0"/>
              <w:right w:val="single" w:color="000000" w:sz="4" w:space="0"/>
            </w:tcBorders>
            <w:shd w:val="clear" w:color="auto" w:fill="auto"/>
            <w:vAlign w:val="center"/>
          </w:tcPr>
          <w:p w14:paraId="493F1FCF">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3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消防水炮组件</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6D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额定工作压力≤1.0MPa，射程≥65m；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流量 40L/s (1±5%)；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俯仰 0～90°、回转 - 45°~45°、喷雾角≥120°；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水路接口DN65/DN80。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6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8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1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77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D89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303EF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74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267" w:type="pct"/>
            <w:vMerge w:val="continue"/>
            <w:tcBorders>
              <w:left w:val="single" w:color="000000" w:sz="4" w:space="0"/>
              <w:right w:val="single" w:color="000000" w:sz="4" w:space="0"/>
            </w:tcBorders>
            <w:shd w:val="clear" w:color="auto" w:fill="auto"/>
            <w:vAlign w:val="center"/>
          </w:tcPr>
          <w:p w14:paraId="1DCF761B">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60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环境探测组件</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5BC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多目摄像 ：三路摄像头 ,可自动侦察周围环境，包括近处路况，附近着火点，人员；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气体传感器：搭载六合一气体检测功能；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具备拾音声光报警功能；</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0E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82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F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30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1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32CA0F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8E9E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267" w:type="pct"/>
            <w:vMerge w:val="continue"/>
            <w:tcBorders>
              <w:left w:val="single" w:color="000000" w:sz="4" w:space="0"/>
              <w:right w:val="single" w:color="000000" w:sz="4" w:space="0"/>
            </w:tcBorders>
            <w:shd w:val="clear" w:color="auto" w:fill="auto"/>
            <w:vAlign w:val="center"/>
          </w:tcPr>
          <w:p w14:paraId="5939613E">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AD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遥控模组</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0EA2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遥控距离≥1200m；</w:t>
            </w:r>
          </w:p>
          <w:p w14:paraId="09EB9A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尺寸≤350*200*70mm，本体重量≤3kg；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主屏≥10 英寸，摇杆+触屏双控制；可同时观看以及控制，联动环境探测组件，将现场周围的环境图像稳定的呈现，可实时的显示电池、内部的各种信息，操控设备状态、有毒有害气体浓度报警信息等，支持控制行走底盘组件前进、后退、转向等运动；控制水炮做上、下、左、右、直流、雾化、自摆动等动作。</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2F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F7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7E5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FBE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82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074889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9EC7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267" w:type="pct"/>
            <w:vMerge w:val="continue"/>
            <w:tcBorders>
              <w:left w:val="single" w:color="000000" w:sz="4" w:space="0"/>
              <w:right w:val="single" w:color="000000" w:sz="4" w:space="0"/>
            </w:tcBorders>
            <w:shd w:val="clear" w:color="auto" w:fill="auto"/>
            <w:vAlign w:val="center"/>
          </w:tcPr>
          <w:p w14:paraId="6448F798">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693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备用遥控模组</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CDB1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napToGrid w:val="0"/>
                <w:kern w:val="0"/>
                <w:sz w:val="24"/>
                <w:szCs w:val="24"/>
              </w:rPr>
              <w:t>备用遥控器可以确保机器人在恶劣环境或同频段干扰的情况下立刻建立应急通讯，并能控制车体行走</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57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F49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0F8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81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E6A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3FC382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A97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267" w:type="pct"/>
            <w:vMerge w:val="continue"/>
            <w:tcBorders>
              <w:left w:val="single" w:color="000000" w:sz="4" w:space="0"/>
              <w:right w:val="single" w:color="000000" w:sz="4" w:space="0"/>
            </w:tcBorders>
            <w:shd w:val="clear" w:color="auto" w:fill="auto"/>
            <w:vAlign w:val="center"/>
          </w:tcPr>
          <w:p w14:paraId="171A44E9">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C8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背架组件</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2F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负重背架：最大承重≥30kg；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腰部调节组件：适配身高 155～185cm；适配不同体型；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免工具拆装调节，主机与背部负重背架采用快速拆装接口。</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3B9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50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219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DB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C9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11F3BB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55E5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267" w:type="pct"/>
            <w:vMerge w:val="continue"/>
            <w:tcBorders>
              <w:left w:val="single" w:color="000000" w:sz="4" w:space="0"/>
              <w:right w:val="single" w:color="000000" w:sz="4" w:space="0"/>
            </w:tcBorders>
            <w:shd w:val="clear" w:color="auto" w:fill="auto"/>
            <w:vAlign w:val="center"/>
          </w:tcPr>
          <w:p w14:paraId="7DA0180A">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989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动力控制组件</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5E7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有源动力模组： 动力形式有源，关节扭矩≥12Nm；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主控模块：穿戴后最大负载≥30kg ，时速≥10km/h、爬坡≥30°；整机总重≤5.6kg；中文实时播报剩余电量</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3B6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1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34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DF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C1B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F75DD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16C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7CB3F5D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3B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插拔式锂电池组件</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242A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电池电压≤36V；</w:t>
            </w:r>
          </w:p>
          <w:p w14:paraId="6458395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续航≥2h；</w:t>
            </w:r>
          </w:p>
          <w:p w14:paraId="288D78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电池支持徒手快速更换，插拔式物理接口</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B43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8F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58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709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9C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E30C6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354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2622A39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36A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小型多旋翼飞行终端</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A84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外观特征1.高空智能巡视模块外观应清洁、光滑、整齐，无污损、腐蚀、划伤、毛刺、裂痕和形变现象。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2.流线型机身，减小飞行中空气阻力。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对角线轴距：对角线轴距≤500mm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机身重量（含电池、桨叶）重量≥1850g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最大飞行时长≥54min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最大水平飞行速度≥21m/s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最大上升速度 ≥10m/s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工作环境温度: -20 ℃ 至 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悬停精度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（固定解）垂直：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优于±0.1 m（RTK正常工作时）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优于±0.1 m（视觉定位正常工作时）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优于±0.5 m（GPS正常工作时）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优于±0.1 m（RTK正常工作时）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优于±0.3 m（视觉定位正常工作时）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优于±0.5 m（GPS正常工作时）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最大可承受风速≥12m/s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最大飞行海拔高度≥6500m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视觉悬停定位精度:垂直：±0.1m；水平：±0.3m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最大信号有效距离≥10km（无干扰、无遮挡）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自主避障:具有自主避障功能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支持SD卡扩展内存:支持配置microSD卡，最大支持521GB容量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实时图传质量:1080p/30fps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云台相机:云台集成可见光和红外光相机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可见光焦段：支持广角、中长焦、长焦多个焦段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可见光广角相机：≥1/1.3英寸CMOS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可见光中长焦相机：≥1/1.3英寸CMOS可见光长焦相机：≥1/1.5英寸CMOS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有效像素≥4800万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红外光相机：分辨率≥640×512 @30Hz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红外灵敏度：≤50mk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图像存储格式 / JPEG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云台激光测距 / 正入射量程：1800 米（1 Hz）@20% 反射率目标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避障功能 / 支持视觉避障功能，可拓展毫米波及激光雷达等多种避障方式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机载AI能力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中继能力 / 支持通过中继方式延长通信距离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支持通过中继方式给其他不少于一种型号无人机提供中继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云台角度抖动量 / ≤±0.005°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云台可控转动范围 / 俯仰-90°至+90°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热成像相机测温范围 ℃ -40至150℃（高增益模式）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0至550℃（低增益模式）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热成像视频分辨率 / ≥640x512@30fps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红外测温精度 ℃ 高增益：±2或±2%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低增益：±5℃ 或 ±3%</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D62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DAF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01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938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18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3DC1D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8064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7FF5C78">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C5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小型多旋翼飞行终端避障模块</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E07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避障重量 ≤250g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避障感知系统类型：激光雷达与五向毫米波雷达组合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避障防护等级：不低于IP55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避障最大探测距离≥100m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避障最小感知导线直径≥12mm </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BE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C9E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E8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EDD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B9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8CE59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3B7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2B6F3487">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55F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小型飞行终端固定机巢</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C288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总体特征：1.机场连接线布局合理，固定牢靠；连接件、紧固件有防松措施；涂镀层无气泡、龟裂和脱落；金属件无锈蚀和机械损伤；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2.自动机场电源与机柜等危险区域应有明显标识予以警告；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3.全自动机场上应有指示灯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尺寸（长×宽×高）≤0.64×0.75×0.77 m （舱盖闭合）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≤1.76×0.75×0.50m（舱盖开启）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重量 ≤55kg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搭载无人机数量：1台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最大巡检范围 ≤10km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数据自动上传：支持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微气象站功能：含风速、雨量、温度，湿度测量仪，1080P监控摄像头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工作环境温度： -30 ～ 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外部监控功能：支持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输入功率≤800 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UPS≥4h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通信方式：支持以太网/4G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防护等级≥IP56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自动充电：≤25分钟（25℃环境，15%充至95%）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温控功能：支持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远程图传：支持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自动开关机：支持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数据下载：支持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紧急备降：支持。误差≤1.5米</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3397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84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C07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E59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54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61BAC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516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BB5434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F0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安全接入网关</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D33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处理器：不低于4核4线程，频率不低于2.0GHz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存储 ≥4G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数据转发延时&lt;400us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最大并发连接 ≥10万个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密文吞吐量 ≥100Mbps</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00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DB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EB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CA6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2B5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10AF5A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B5C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288273E">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684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安全接入模块</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14B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存储≥256 MB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密文吞吐量≥40Mbps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最大并发连接数≥100个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加解密通信≥20Mbps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加密时延≤2s</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B2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BB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F2D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32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82D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0D8756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38F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2FB50CFE">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AFC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飞行终端智能调度管控装置</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2C2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处理器：不低于4核4线程、频率2.7GHz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内存≥64G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COM口：不低于2*RS232（可转RS422/485）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扩展槽：1*PCIE×16全高扩展槽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含调度管控模块</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60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199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0A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C8D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013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2C6D92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695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0DA026E">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FDF95">
            <w:pPr>
              <w:keepNext w:val="0"/>
              <w:keepLines w:val="0"/>
              <w:widowControl/>
              <w:suppressLineNumbers w:val="0"/>
              <w:jc w:val="center"/>
              <w:textAlignment w:val="center"/>
              <w:rPr>
                <w:rFonts w:hint="eastAsia" w:ascii="宋体" w:hAnsi="宋体" w:eastAsia="宋体" w:cs="宋体"/>
                <w:snapToGrid w:val="0"/>
                <w:kern w:val="0"/>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简易运动单元</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7E75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(1)驱动方式宜采用差速驱动；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(2)最大速度不小于1m/s；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(3)最小转弯半径不大于100mm；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(4)急停时高清摄像头晃动3秒内恢复稳定；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(5)越障高度不低于10mm；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(6)最大爬坡能力不小于10°；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(7)在自主行走过程中遇到凹陷区域（深度≥10cm）能及时停止。</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90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8287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B6F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823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E84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6D508E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CA6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21F2D33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33D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简易检测单元</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FB1F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拍摄可见光照片分辨率不小于1600万像素，能分辨最小4mm×4mm的文字标签；立杆摄像头距离屏柜0.8m远时，组合拍照视野覆盖2.2m高屏柜且不漏拍，具有规避照明灯反光的功能；整体拍照质量满足 DL/T 283.4 - 2021文件规定。</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A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368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03A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F8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3A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1052A4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A2EB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7043A72">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D29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简易通讯模块</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00F9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无线通讯不小于100m，可通过添加中继的方式扩展到200m；简易机器人机站与巡视主机通信采用100Mbps/1000Mbps自适应以太网物理介质的通信接口，通讯连接稳定可靠；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2）远程控制延时小于500ms，遥控或远程控制的数据帧率不小于10Hz；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3）多机器人控制信号干扰：两台或两台以上简易机器人在同一变电站工作时，控制信号不应相互干扰；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4）数据传输：能将图片、视频等数据实时传输到机器人机站，并上传巡视主机；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5）接口协议：设备模型信息及设备巡视点位信息同步、控制指令等传输遵循 TCP 传输协议；巡视采集的文件传输遵循 FTPS 安全文件传输规范；通讯接口支持三维点云LAS 模型数据在线/离线同步</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F72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A5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3FF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150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D3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0375A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108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0E01EB54">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CA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简易电源模块</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0595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备过欠压、过温、过充、过放保护及剩余电量、电芯温度信息上报功能；电池从10%充电到90%时间不大于2小时，充满后进入待机状态；续航时间不小于5h（-10℃~0℃温度范围下不小于4h）；充放电次数不小于1500次，1000次充放电后剩余容量不小于80%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BE1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1D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94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F4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E02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47F22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8304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35C5B566">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E33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安全接入网关</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84D2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处理器：不低于4核4线程，频率2.0GHz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存储≥4G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数据转发延时&lt;400us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最大并发连接≥10万个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密文吞吐量≥100Mbps</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C9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83A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1E0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DDE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C0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3EC8B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8CC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513BB958">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28A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安全接入模块</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4DE6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存储 ≥256MB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密文吞吐量≥40Mbps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最大并发连接数 ≥100个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加解密通信≥20Mbps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加密时延≤2s</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0D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1DF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0BB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2F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5E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E2884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DE7C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7ADF2943">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14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简易充电桩</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7F4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额定输出电压：最高不应超过 DC48V，纹波小于 ±2%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尺寸重量：长、宽、高均不大于 550mm，重量不超过 30kg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工作电压：工作电压：AC220V/50Hz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充电保护：具备过流、过压、过温、防拉弧等保护功能</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75D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8BE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DE5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D3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8E5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2BFE70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C7A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44B9374">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B6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轮足底盘</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327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(1)平台最大移动速度约20km/h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(2)平台最大水平拉力约100kg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(3)跳跃深堑宽度约 2m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(4)最大站立负载120kg，持续行走负载&gt; 40kg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(5)具备防碰撞功能，应具有障碍物检测功能，在行走过程中如遇到障碍物应及时停止，障碍物移除后应能恢复行走。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(6)具备自主导航功能。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(7)轮直径225mm，轮最大转速57rad/s轮最大扭矩50N.m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(8)楼梯行走能力，最大台阶高度 不低于25cm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斜坡行走能力≥45°。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(9)站立尺寸：约 930mm×480mm×585mm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(10)折叠尺寸：约 930mm×630mm×200mm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重量：约58kg(整机，含电池)</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38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75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C7F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706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613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21B4F3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6BA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58E5A772">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9DA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检测单元</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9036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可见光检测设备性能需求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(1)最大图像分辨率：≥2680 × 1520；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(2)聚焦：半自动/手动；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(3)变焦：≥32倍光学变倍，≥16倍数字变倍；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红外检测设备性能需求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(1)测温范围：-20℃~550℃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(2)测温精度：±2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(3)红外检测设备成像分辨率不低于640×512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(4)接口方式以太网或RS-485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云台性能要求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(1)水平范围：水平360°；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(2)垂直范围：垂直-90°~ 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(3)预置点个数：≥300个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(4)预置点精度：±0.1°</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B1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79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02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F0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540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0A9CCC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94F3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7D95F57A">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9A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机械臂</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C45B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(1)重量：≥7Kg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(2)额定负载：≥5Kg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(3)臂展范围：≥60cm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(4)自由度≥7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(5)防护等级：IP54</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C9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15D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84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D64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68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5CE9AD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3F5B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964A582">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2A3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充电桩</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677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(1)接触式充电，用于机器人低电量时可自主返回充电桩补充电量；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(2)应采用新一代融合定位技术，适应工业场景中的光线不足、污渍和灰尘等恶劣条件。</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39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A8C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7A8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603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4A8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0A447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1284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2A00CF0F">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750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电池</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608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(1)支持AC100V~240V/50Hz额定电压，标称电压允许幅值偏差为±10%；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(2)电池容量不小于2000Wh，续航时间内，轮足智能巡检装置应稳定、可靠工作，电池单次充电续航能力应≥4h，充放电次数不小于400次；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充电电压DC43-63V。最大充电电流单电池充电: 10A；双电池充电: 20A。</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C86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C6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2B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E5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A0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52E12A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ED6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3038271F">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73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控制柜</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5B485">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交流220V/50Hz</w:t>
            </w:r>
          </w:p>
          <w:p w14:paraId="524C7C1A">
            <w:pPr>
              <w:keepNext w:val="0"/>
              <w:keepLines w:val="0"/>
              <w:widowControl/>
              <w:numPr>
                <w:ilvl w:val="0"/>
                <w:numId w:val="1"/>
              </w:numPr>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尺寸≤240×90×110cm</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1C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1FB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8E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7E0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DE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36EA2F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BF05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F212C4F">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FE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应用服务终端</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05A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不低于以下配置： 12核（8性能核 + 4能效核）/ 20线程；基础 2.1 GHz / 最大睿频 4.9 GHz频率，8GB内存容量，256GB SSD,4TBS ATA 机械硬盘,2GB显卡</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71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C5A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09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E5E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B14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0AD18D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4408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07B93CEB">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F21A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巡视主机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6E2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1.机箱：2U机架式，480mm（深）×438mm×88.8mm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2.电源：800W热插拔冗余电源，支持上电自启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3.处理器：不低于16核 2.5GHz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4.内存：≥64G内存 DDR4 RECC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5.硬盘：≥10T  HDD企业级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6.网卡：不低于2个千兆网卡，1个BMC远程管理口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扩展：不低于3个 PCI-E x16,3个 PCI-E ×8系统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满足自主可控要求</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72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65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BE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BF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356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09884E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BA17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3D75F970">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3D27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智能分析主机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EA3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1.机箱：2U机架式，480mm（深）×438mm×88.8mm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2.电源：800W热插拔冗余电源，支持上电自启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3.处理器：不低于16核 2.5GHz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4.内存：≥64G内存 DDR4 RECC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5.硬盘：≥1T  SSD企业级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6.算力卡：≥140 TOPS INT8算力 24GB显存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7.网卡：不低于2个千兆网卡，1个BMC远程管理口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扩展：不低于3个 PCI-E x16,3个 PCI-E ×8系统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满足自主可控要求</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B20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007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97A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E9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A3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06D32A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A7AB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028210A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08F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辅控主机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6E45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1.处理器：不低于24核心，2.5GHz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2.内存：不低于16G内存DDR4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3.⽹络：支持双口千兆网络接口，PCle网卡可扩展6个千兆网卡；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4.硬盘：不低于960G 企业级SSD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5.接口：不低于1个RJ-45管理接口，1个COM口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6.电源：800W热插拔冗余电源，支持上电自启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7.管理功能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可集成BMC芯片，对外提供1个1Gbps RJ45管理口，支持IPMI2.0、Redfish、SNMP等标准接口；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基于IKVM/HTML5的远程管理界面，提供全面的故障诊断、自动化运维和远程管理的功能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8.机箱：2U机架式，447mm(宽)*87mm(高)*480mm(深)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满足自主可控要求</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EDF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82D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FB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3E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1FF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2289AF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AD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24F9242D">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12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声纹识别模块</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4FE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1．供电方式：DC12V(±10%)，支持POE供电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2．通信方式：以太网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3．工作温度：-30℃~50℃，湿度小于90%（无凝结）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4．输入接口：4路航空头音频输入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5．采样率：支持192kHz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6．防护等级：IP66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音频压缩标准：PCM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8．通信协议：国网传输协议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9．保护：支持雷击保护、电源极性反转保护、静电防护</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F10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183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BAC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C7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DC2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46492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F1B2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644FCE4D">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E57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拾音器</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934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1．采样率：支持192kHz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2．灵敏度：-32~-27 dBV/g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3．等效噪声：-100 dBV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4．工作温度：-30°C～50°C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5．频率范围：100 Hz~4 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6．保护：支持雷击保护、电源极性反转保护、静电防护</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9D9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BF7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C4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0F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EF6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399FA6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0BB9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66C55A34">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798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系统工作站</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2FB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CPU：≥1颗 ≥8核 ≥2.8GHz； </w:t>
            </w:r>
          </w:p>
          <w:p w14:paraId="759994B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内存：8GB DDR4内存；</w:t>
            </w:r>
          </w:p>
          <w:p w14:paraId="27980FC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硬盘：1TB×2；</w:t>
            </w:r>
          </w:p>
          <w:p w14:paraId="4213F9B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网卡：千兆以太网口×２；</w:t>
            </w:r>
          </w:p>
          <w:p w14:paraId="1A5343F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显卡：独立显卡，2GB；</w:t>
            </w:r>
          </w:p>
          <w:p w14:paraId="48C29A0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显示器：1台24寸液晶显示器；</w:t>
            </w:r>
          </w:p>
          <w:p w14:paraId="25F81D9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含键盘、鼠标和显示器、视频线，1套。</w:t>
            </w:r>
          </w:p>
          <w:p w14:paraId="6C759D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具备指纹或人脸识别双重认证解锁</w:t>
            </w:r>
          </w:p>
          <w:p w14:paraId="7454811B">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具备向华北分部主网设备智能管控平台推送数据需求配置及数据传输配置</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E7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311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C60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56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DD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1815A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9531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003D902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435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T型云台摄像机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DFFB">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1.传感器类型：不低于1/2.8" progressive scan 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2.最低照度：彩色：0.005 Lux @（F1.6，AGC ON）；黑白：0.001 Lux @（F1.6，AGC ON）, 0 Lux with IR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3.焦距：不低于4.8  mm~153.6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4.变倍：不低于32倍光学变倍，16倍数字变倍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5.补光灯距离：不低于白光100m，红外150m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6.水平范围：0~360°连续旋转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7.垂直范围：+90°～-90°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8.水平速度：0.1°~200°/s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9.垂直速度：0.1°~50°/s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10.宽动态：支持真宽动态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11.电流及功耗：AC：24 V ± 25% /DC：36 V ± 25%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45 W max （其中：运动最大10W，补光最大6.4W）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12.工作温湿度：-40 ℃~70 ℃，湿度小于95%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防护：IP66，TVS 6000 V 防雷、防浪涌、防突波，符合GB/T17626.5 四级标准 </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83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25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107</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79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77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30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46B74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2DC9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1461FA39">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FD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球形摄像机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4FC4">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1.传感器类型：不低于1/2.8＂ progressive scan 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2.最低照度：彩色：0.005Lux @ (F1.6，AGC ON)；黑白：0.001Lux @(F1.6，AGC ON) ；0 Lux with IR</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3.宽动态：支持真宽动态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4.焦距：不低于4.8 mm~110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5.变倍：不低于23倍光学变倍，16倍数字变倍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6.补光灯类型：不低于红外补光100m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7.水平范围：360°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8.垂直范围：-15°-90°(自动翻转)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9.电流及功耗：最大功耗：18 W（其中除雾加热1.6 W，补光灯9 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防护：IP66; 6000V 防雷、防浪涌、防突波，符合GB/T17626.2/3/4/5/6四级标准 </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BC7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A9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86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3EC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8CC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55517B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C0D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36AD05AB">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5F9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双光谱红外测温摄像机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6751E">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1.热成像分辨率：不低于384 × 288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2.热成像焦距：不低于50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3.热成像近摄距：不低于5m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4.目标物最远测温距离（以0.1×0.1米为准）：不低于55m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5.热成像视场角：7.5° × 5.6°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6.测温范围：-20 ℃~550 ℃，测温精度：±2 ℃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7.可见光分辨率：不低于2688 × 1520，400万实时高清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8.可见光焦距：不低于6-336 mm，光学变倍56倍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9.可见光补光功能：不低于红外补光150 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10.可见光视场角：59°(H)34.14°(V)-1.36°(H)0.77°(V)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11.可见光防抖功能：支持EIS陀螺仪防抖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12.水平范围：360°连续旋转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13.垂直范围：-20°~90°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14.功率：整机静态功耗≈30W  运动功耗≤50W  整机最大峰值功耗≤65W（开启除冰加热）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防护等级：IP66，TVS 6000V 防雷、防浪涌、防突波，符合GB/T17626.5 四级标准</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947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EA3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AFC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E50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08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5360D3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193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6C460E39">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158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全景摄像机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3BB5">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1.传感器类型：不低于1/1.8＂ progressive scan CMOS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2.宽动态：支持120dB超宽动态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3.光学变倍：不低于40倍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4.焦距：全景不低于2mm；细节不低于6~240mm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5.红外照射距离：不低于300米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6.水平范围：360°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7.垂直范围：-15°-90°(自动翻转)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8.主码流帧率分辨率：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全景：50Hz: 25fps (11040×2400,8160x1800,6096x1320) 60Hz: 24fps (11040×2400,8160x1800,6096x1320）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细节：50Hz:25fps (2688x1520，2560x1440,1920×1080,1280×960,1280x720) 60Hz:30fps （3840×2160，    2560x1440,1920x1080,1280x960,1280x720)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9.视频压缩标准：H.265;H.264;MJPEG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10.卫星定位：支持北斗卫星定位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11.陀螺仪：支持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12.电子罗盘：支持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13.网络接口：RJ45网口;自适应10M/100M/1000M网络数据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14.光纤接口：FC接口;内置光纤模块;波长TX1310/RX1550nm;20km传输距离;单模单纤;1000M网络数据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15.供电方式：DC36V；整机平均功耗85w，最大功耗120w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防护：IP67; 6000V 防雷、防浪涌、防突波，符合GB/T17626.2/3/4/5/6四级标准</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F3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1BA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CA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DD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AC8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A05338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6216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3D105223">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6D0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微型摄像机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CF530">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1.传感器类型：不低于1/2.7" Progressive Scan CMOS，500万像素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2.最低照度：彩色：0.5 Lux @（F2.0，AGC ON），0 Lux with Light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3.宽动态：不低于120 dB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4.焦距&amp;视场角：4 mm @F2.0，水平视场角：79.6°，垂直视场角：63.8°，对角视场角：93.4°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5.补光距离：不低于500 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6.分辨率：不低于2560 × 1920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7.供电方式：DC：12 V ± 25%、PoE：802.3af，Type 1，Class 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8.防护：IP67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支持国网4级辐射等级认证</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735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34B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FE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14F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162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F0EC4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C31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1CF179A3">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95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枪型摄像机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2758D">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1.传感器类型：不低于1/2.7" Progressive Scan 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2.最低照度：彩色：0.005 Lux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3.焦距&amp;视场角：2.7~13.5 mm，水平视场角：100.2°~33.3°，垂直视场角：53.3°~18.7°，对角视场角：119.0°~38.1°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4.补光灯类型：支持白光，红外补光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5.补光距离：红外光不低于50 m，白光不低于30 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6.分辨率：不低于2560 × 1440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7.宽动态：支持数字宽动态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8.电流及功耗：DC：12 V, 0.9 A, 最大功耗：10.8 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PoE：IEEE 802.3af，CLASS 3，最大功耗：12.9 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防护：IP67 </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343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1D7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1F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EEC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6C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C9B82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91E8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3EC5C8FA">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BB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屏柜</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784D">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2260*800*600mm，配备UDP电源</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6EE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面</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DC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42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EC9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F81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96911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E57A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75651E8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44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KVM系统</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9D87">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1.不低于8路VGA输入1路VGA输出；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2.显示屏：17英寸，4:3；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3.分辨率：不低于1280*1024；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4.键盘：USB接口，98键；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5.电源：DC12V；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6.满足1U机架式安装；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工作温度：0~50℃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6D6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D94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CC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26D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D92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0F9AD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AD04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150CCB0">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26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就地汇控柜</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1337E">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304不锈钢 1400mm（高）*650mm（宽）*650mm(深）左门轴（壁厚≥2mm,锰含量≤2%，带空调）</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0D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FE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A0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6E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F85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665863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D8F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13136FD5">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144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正向隔离装置</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3136">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1.内网侧网口：100/1000M Base-T,不少于3 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2.外网侧网口：100/1000M Base-T,不少于3 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3.内网侧串口：RS232，不少于1个，Console；</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4.外网侧串口：RS232，不少于1个，Console；</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5.内网侧USB：USE 3.0 Host，Type A，不少于1个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6.外网侧USB：USE 3.0 Host，Type A，不少于1个；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7.电源：双路冗余电源，支持 AC/DC/110V/220V；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8.尺寸：满足1U机架式安装；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9.工作温度：-20~+70℃；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10.数据包吞吐量：≥800Mbps；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数据转发延时：≤1ms；</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5B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C4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2D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36B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95A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6CC71B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4C1D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5AC8BF46">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E7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反向隔离装置</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5F36A">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1.内网侧网口：100/1000M Base-T,不少于3 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2.外网侧网口：100/1000M Base-T,不少于3 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3.内网侧串口：RS232，不少于1个，Console；</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4.外网侧串口：RS232，不少于1个，Console；</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5.内网侧USB：USE 3.0 Host，Type A，不少于1个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6.外网侧USB：USE 3.0 Host，Type A，不少于个；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7.电源：双路冗余电源，支持 AC/DC/110V/220V；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8.尺寸：满足1U机架式安装；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9.工作温度：-20~+70℃；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10.数据包吞吐量：≥400Mbps；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数字签名速率：≥240 次/秒；</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6F7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5C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91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EB7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1D8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16405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8D46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5DB6FF84">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AA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防火墙</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04AB4">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1.网络端口：不少于6个；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2.控制端口：不少于1个控制口，1个mini插槽；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3.VPN支持：至少支持L2TP VPN、GRE VPN、IPSec/IKE、SSL VPN；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入侵检测：支持对黑客攻击、蠕虫/病毒、木马、恶意代码、间谍软件/广告软件、DoS/DDoS常等攻击的防御；支持缓冲区溢出、SQL注入、IDS/IPS逃逸等攻击的防御；支持对BT等P2P/IM识别和控制；支持攻击特征库的分类（根据攻击类型、目标机系统进行分类）、分级（分高、中、低、提示四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5.支持标准网管 SNMPv3，并且兼容SNMP v2c、SNMP v1；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6.支持NTP时间同步；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7.支持Web方式进行远程配置管理；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8.支持SNMP、TR069网管协议；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9.工作温度：0-45℃；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10.工作湿度：10%-95%，无冷凝；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电源：AC 100-240V，50/60Hz；</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E5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D31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A07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D93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6C4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20FEC8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6D5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ECFA62C">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827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路由器</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7E62">
            <w:pPr>
              <w:keepNext w:val="0"/>
              <w:keepLines w:val="0"/>
              <w:widowControl/>
              <w:suppressLineNumbers w:val="0"/>
              <w:jc w:val="left"/>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1.传输速率：10/100/1000Mbps；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2.端口结构：非模块化；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3.广域网接口：不少于2个GE（1个WAN口支持切换为LAN）；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4.局域网接口：不少于3个GE(2个LAN口支持切换为WAN)；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5.其它端口：不少于1个USB接口；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6.防火墙：支持；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7.Qos支持：支持；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8.VPN支持：支持IPSec VPN；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9.网络安全：支持基于源目的地址、端口定义防火墙过滤策略、支持MAC地址过滤功能，支持MAC地址黑白名等；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10.处理器：高性能ARM双核CPU；</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11.内存：不低于256M；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12.电源：100-240V，50/60Hz；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13.MTBF：&gt;50000H；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14.适用带宽：≥500Mbps；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15.IPSec加密性能：≥100Mbps；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16.IPSec VPN隧道数：≥100；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17.NAT会话数：≥8万；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18.NAT映射表项：≥100；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可管理MINI AP数量：≥200；</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B88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5FE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3AD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A0A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D51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3405E0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DEB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52127759">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AA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硬盘录像机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C378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1.网络视频输入：不低于64路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2.网络视频接入带宽：不高于320Mbps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3.网络视频接入协议：HIKVISION、ACTi、ARECONT、AXIS、BOSCH、BRICKCOM、CANON、HUNT、ONVIF（版本支持2.5）、PANASONIC、PELCO、RTSP、SAMSUNG、SANYO、SONY、VIVOTEK、ZAVIO</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4.预览分割：1/4/6/8/9/16/25/32/36/64画面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5.录像分辨率：12MP/8MP/6MP/5MP/4MP/3MP/1080p/UXGA/720p/VGA/4CIF/2CIF/CIF/QCIF</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6.同步回放：不低于16路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7.电源：AC 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8.功耗（不含硬盘）：≤35W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9.工作温度：-10℃--＋55℃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10.工作湿度：10％--90％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 机箱：19英寸标准3U机箱</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8F1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D8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E03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32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D4B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289189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1AC1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42D56481">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298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硬盘</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09C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SATA、8T、7200转</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DC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B8A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74C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D90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82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187539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00E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1C87199D">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C0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接入交换机（Ⅰ型）</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304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1.传输速率：10/100/1000Mbps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2.交换方式：存储-转发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3.背板带宽：不低于92Gbps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4.包转发率：不低于42Mpps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5.端口数量：不少于24个10/100/1000Base-T以太网端口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、不少于4个100/1000 Base-X SFP光口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控制端口：不少于1个Console端口</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CD2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B3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7F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17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B6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4CDF77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78E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7259CD9E">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9EC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接入交换机（Ⅱ型）</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2EB8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1.背板带宽：不低于56Gbps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2.包转发率：不低于42Mpps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3.端口结构：POE供电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4.端口数量：不低于28口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5.端口描述：GE电口数量：26 (含24个PoE电口)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6.SFP光口数量：不低于2个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7.电源功率：225W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PoE看门狗：支持</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EC6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FC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D64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D44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D64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A363F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84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7" w:type="pct"/>
            <w:vMerge w:val="continue"/>
            <w:tcBorders>
              <w:left w:val="single" w:color="000000" w:sz="4" w:space="0"/>
              <w:right w:val="single" w:color="000000" w:sz="4" w:space="0"/>
            </w:tcBorders>
            <w:shd w:val="clear" w:color="auto" w:fill="auto"/>
            <w:vAlign w:val="center"/>
          </w:tcPr>
          <w:p w14:paraId="7D3FA21A">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FB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接入交换机（Ⅲ型）</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25B2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1.不低于48个千兆电口和4个千兆光口，支持全千兆传输速率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2.交换容量不低于336Gbps，包转发率不低于126Mpps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3.支持PoE+供电，单端口最大输出功率不超过30W，整机PoE输出功率不超过370W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4.支持丰富的QoS策略，包括端口限速、SP/WRR/SP+WRR队列、802.1p/DSCP优先级映射，保障关键业务优先传输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5.满足机架式安装要求；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6.工作温度：-5℃～45℃；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7.运行环境湿度：5%～95%（非凝结）;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8.工作电源：100V～240V AC，50/60Hz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支持STP/RSTP/MSTP，IPv6，VLAN，流量控制，ACL，QoS，端口镜像，NTP、支持SNMP V1/V2c/V3网管；</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6D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915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8DA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15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217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right w:val="single" w:color="000000" w:sz="4" w:space="0"/>
            </w:tcBorders>
            <w:shd w:val="clear" w:color="auto" w:fill="auto"/>
            <w:vAlign w:val="center"/>
          </w:tcPr>
          <w:p w14:paraId="762DB7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934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67" w:type="pct"/>
            <w:vMerge w:val="continue"/>
            <w:tcBorders>
              <w:left w:val="single" w:color="000000" w:sz="4" w:space="0"/>
              <w:bottom w:val="single" w:color="000000" w:sz="4" w:space="0"/>
              <w:right w:val="single" w:color="000000" w:sz="4" w:space="0"/>
            </w:tcBorders>
            <w:shd w:val="clear" w:color="auto" w:fill="auto"/>
            <w:vAlign w:val="center"/>
          </w:tcPr>
          <w:p w14:paraId="12A3213D">
            <w:pPr>
              <w:jc w:val="center"/>
              <w:rPr>
                <w:rFonts w:hint="eastAsia" w:ascii="宋体" w:hAnsi="宋体" w:eastAsia="宋体" w:cs="宋体"/>
                <w:i w:val="0"/>
                <w:iCs w:val="0"/>
                <w:color w:val="000000"/>
                <w:sz w:val="24"/>
                <w:szCs w:val="24"/>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6E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汇聚交换机</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9348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1.不少于8个千兆电口、24个千兆光口、4个万兆光口；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2.交换容量：≥336Gbps/3.36Tbps；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3.包转发率：≥126/144Mpps；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4.满足机架式安装要求；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5.工作温度：-5℃～45℃；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6.运行环境湿度：5%～95%（非凝结）;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7.工作电源：100V～240V AC，50/60Hz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支持STP/RSTP/MSTP，IPv6，VLAN，流量控制，ACL，QoS，端口镜像，NTP、支持SNMP V1/V2c/V3网管；</w:t>
            </w:r>
          </w:p>
        </w:tc>
        <w:tc>
          <w:tcPr>
            <w:tcW w:w="1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420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FD5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33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3D4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B6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589" w:type="pct"/>
            <w:vMerge w:val="continue"/>
            <w:tcBorders>
              <w:left w:val="single" w:color="000000" w:sz="4" w:space="0"/>
              <w:bottom w:val="single" w:color="000000" w:sz="4" w:space="0"/>
              <w:right w:val="single" w:color="000000" w:sz="4" w:space="0"/>
            </w:tcBorders>
            <w:shd w:val="clear" w:color="auto" w:fill="auto"/>
            <w:vAlign w:val="center"/>
          </w:tcPr>
          <w:p w14:paraId="7E6A36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295C207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具体供货不局限于上述产品。应包括上述产品相关配件，类似升级产品。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548D38"/>
    <w:multiLevelType w:val="singleLevel"/>
    <w:tmpl w:val="51548D3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F4B3000"/>
    <w:rsid w:val="247A4BEB"/>
    <w:rsid w:val="37DC3A83"/>
    <w:rsid w:val="39333B77"/>
    <w:rsid w:val="4A5767AB"/>
    <w:rsid w:val="51D14780"/>
    <w:rsid w:val="525E5C4F"/>
    <w:rsid w:val="536D5F9A"/>
    <w:rsid w:val="55AA3239"/>
    <w:rsid w:val="60601D56"/>
    <w:rsid w:val="686E14AC"/>
    <w:rsid w:val="687568A8"/>
    <w:rsid w:val="69523735"/>
    <w:rsid w:val="6DCA0703"/>
    <w:rsid w:val="714C0025"/>
    <w:rsid w:val="73450FE4"/>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13496</Words>
  <Characters>17221</Characters>
  <Lines>0</Lines>
  <Paragraphs>0</Paragraphs>
  <TotalTime>0</TotalTime>
  <ScaleCrop>false</ScaleCrop>
  <LinksUpToDate>false</LinksUpToDate>
  <CharactersWithSpaces>17616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