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C0BD7">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eastAsia"/>
          <w:color w:val="auto"/>
          <w:highlight w:val="none"/>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2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1"/>
        <w:gridCol w:w="1790"/>
        <w:gridCol w:w="4867"/>
        <w:gridCol w:w="886"/>
        <w:gridCol w:w="833"/>
        <w:gridCol w:w="1042"/>
        <w:gridCol w:w="1196"/>
        <w:gridCol w:w="969"/>
        <w:gridCol w:w="1553"/>
      </w:tblGrid>
      <w:tr w14:paraId="75CC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blHeader/>
          <w:jc w:val="center"/>
        </w:trPr>
        <w:tc>
          <w:tcPr>
            <w:tcW w:w="546" w:type="pct"/>
            <w:vAlign w:val="center"/>
          </w:tcPr>
          <w:p w14:paraId="2A978D79">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06" w:type="pct"/>
            <w:shd w:val="clear" w:color="auto" w:fill="auto"/>
            <w:vAlign w:val="center"/>
          </w:tcPr>
          <w:p w14:paraId="3D502BB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物资名称</w:t>
            </w:r>
          </w:p>
        </w:tc>
        <w:tc>
          <w:tcPr>
            <w:tcW w:w="1648" w:type="pct"/>
            <w:shd w:val="clear" w:color="auto" w:fill="auto"/>
            <w:vAlign w:val="center"/>
          </w:tcPr>
          <w:p w14:paraId="3103DB67">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主要技术要求</w:t>
            </w:r>
          </w:p>
        </w:tc>
        <w:tc>
          <w:tcPr>
            <w:tcW w:w="300" w:type="pct"/>
            <w:shd w:val="clear" w:color="auto" w:fill="auto"/>
            <w:vAlign w:val="center"/>
          </w:tcPr>
          <w:p w14:paraId="6A4F07A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单位</w:t>
            </w:r>
          </w:p>
        </w:tc>
        <w:tc>
          <w:tcPr>
            <w:tcW w:w="282" w:type="pct"/>
            <w:shd w:val="clear" w:color="auto" w:fill="auto"/>
            <w:vAlign w:val="center"/>
          </w:tcPr>
          <w:p w14:paraId="4E85182F">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数量</w:t>
            </w:r>
          </w:p>
        </w:tc>
        <w:tc>
          <w:tcPr>
            <w:tcW w:w="353" w:type="pct"/>
            <w:shd w:val="clear" w:color="auto" w:fill="auto"/>
            <w:vAlign w:val="center"/>
          </w:tcPr>
          <w:p w14:paraId="5B344948">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交货日期</w:t>
            </w:r>
          </w:p>
        </w:tc>
        <w:tc>
          <w:tcPr>
            <w:tcW w:w="405" w:type="pct"/>
            <w:vAlign w:val="center"/>
          </w:tcPr>
          <w:p w14:paraId="24F8FFD1">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质保期（不低于）</w:t>
            </w:r>
          </w:p>
        </w:tc>
        <w:tc>
          <w:tcPr>
            <w:tcW w:w="328" w:type="pct"/>
            <w:shd w:val="clear" w:color="auto" w:fill="auto"/>
            <w:vAlign w:val="center"/>
          </w:tcPr>
          <w:p w14:paraId="3B865AA3">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z w:val="24"/>
                <w:szCs w:val="24"/>
              </w:rPr>
              <w:t>交货地点</w:t>
            </w:r>
          </w:p>
        </w:tc>
        <w:tc>
          <w:tcPr>
            <w:tcW w:w="526" w:type="pct"/>
            <w:shd w:val="clear" w:color="auto" w:fill="auto"/>
            <w:vAlign w:val="center"/>
          </w:tcPr>
          <w:p w14:paraId="02724AFE">
            <w:pPr>
              <w:widowControl/>
              <w:snapToGrid w:val="0"/>
              <w:ind w:firstLine="0" w:firstLineChars="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专用业绩要求</w:t>
            </w:r>
          </w:p>
        </w:tc>
      </w:tr>
      <w:tr w14:paraId="4FE2C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Merge w:val="restart"/>
            <w:vAlign w:val="center"/>
          </w:tcPr>
          <w:p w14:paraId="2CA5F24B">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感知增益模组等采购项目</w:t>
            </w:r>
          </w:p>
        </w:tc>
        <w:tc>
          <w:tcPr>
            <w:tcW w:w="606" w:type="pct"/>
            <w:shd w:val="clear" w:color="auto" w:fill="auto"/>
            <w:vAlign w:val="center"/>
          </w:tcPr>
          <w:p w14:paraId="25E01B54">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感知增益模组</w:t>
            </w:r>
          </w:p>
        </w:tc>
        <w:tc>
          <w:tcPr>
            <w:tcW w:w="1648" w:type="pct"/>
            <w:shd w:val="clear" w:color="auto" w:fill="auto"/>
            <w:vAlign w:val="center"/>
          </w:tcPr>
          <w:p w14:paraId="795A880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1.频率范围：860-960MHz</w:t>
            </w:r>
          </w:p>
          <w:p w14:paraId="55981941">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2.增益≥ 9dBi</w:t>
            </w:r>
          </w:p>
          <w:p w14:paraId="3BDB1CED">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3.极化方式 圆极化</w:t>
            </w:r>
          </w:p>
          <w:p w14:paraId="7BF5149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4.电压驻波比 ≤1.4</w:t>
            </w:r>
          </w:p>
          <w:p w14:paraId="5091838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5.前后比 ≥20</w:t>
            </w:r>
          </w:p>
          <w:p w14:paraId="2449084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6.阻抗≤50Ω</w:t>
            </w:r>
          </w:p>
          <w:p w14:paraId="54CC16D2">
            <w:pPr>
              <w:ind w:firstLine="0" w:firstLineChars="0"/>
              <w:jc w:val="left"/>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7.最大输入功率≥100W</w:t>
            </w:r>
          </w:p>
        </w:tc>
        <w:tc>
          <w:tcPr>
            <w:tcW w:w="300" w:type="pct"/>
            <w:shd w:val="clear" w:color="000000" w:fill="FFFFFF"/>
            <w:vAlign w:val="center"/>
          </w:tcPr>
          <w:p w14:paraId="705C33CB">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napToGrid w:val="0"/>
                <w:kern w:val="0"/>
                <w:sz w:val="24"/>
                <w:szCs w:val="24"/>
              </w:rPr>
              <w:t>套</w:t>
            </w:r>
          </w:p>
        </w:tc>
        <w:tc>
          <w:tcPr>
            <w:tcW w:w="282" w:type="pct"/>
            <w:shd w:val="clear" w:color="000000" w:fill="FFFFFF"/>
            <w:vAlign w:val="center"/>
          </w:tcPr>
          <w:p w14:paraId="72526E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112</w:t>
            </w:r>
          </w:p>
        </w:tc>
        <w:tc>
          <w:tcPr>
            <w:tcW w:w="353" w:type="pct"/>
            <w:shd w:val="clear" w:color="auto" w:fill="auto"/>
            <w:vAlign w:val="center"/>
          </w:tcPr>
          <w:p w14:paraId="4E208595">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7284407F">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1年</w:t>
            </w:r>
          </w:p>
        </w:tc>
        <w:tc>
          <w:tcPr>
            <w:tcW w:w="328" w:type="pct"/>
            <w:shd w:val="clear" w:color="auto" w:fill="auto"/>
            <w:vAlign w:val="center"/>
          </w:tcPr>
          <w:p w14:paraId="661BA136">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26" w:type="pct"/>
            <w:vMerge w:val="restart"/>
            <w:shd w:val="clear" w:color="auto" w:fill="auto"/>
            <w:vAlign w:val="center"/>
          </w:tcPr>
          <w:p w14:paraId="44CACABE">
            <w:pPr>
              <w:widowControl/>
              <w:snapToGrid w:val="0"/>
              <w:ind w:firstLine="0" w:firstLineChars="0"/>
              <w:rPr>
                <w:rFonts w:hint="eastAsia" w:ascii="宋体" w:hAnsi="宋体" w:eastAsia="宋体" w:cs="宋体"/>
                <w:sz w:val="24"/>
                <w:szCs w:val="24"/>
              </w:rPr>
            </w:pPr>
            <w:r>
              <w:rPr>
                <w:rFonts w:hint="eastAsia" w:ascii="宋体" w:hAnsi="宋体" w:eastAsia="宋体" w:cs="宋体"/>
                <w:color w:val="000000" w:themeColor="text1"/>
                <w:kern w:val="0"/>
                <w:sz w:val="24"/>
                <w:szCs w:val="24"/>
                <w14:textFill>
                  <w14:solidFill>
                    <w14:schemeClr w14:val="tx1"/>
                  </w14:solidFill>
                </w14:textFill>
              </w:rPr>
              <w:t>2023年1月1日至2025年12月31日，具有电子元器件销售业绩不少于90万元。注：业绩必须提供对应的合同复印件、发票和相应查验截图。</w:t>
            </w:r>
          </w:p>
        </w:tc>
      </w:tr>
      <w:tr w14:paraId="432F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Merge w:val="continue"/>
            <w:vAlign w:val="center"/>
          </w:tcPr>
          <w:p w14:paraId="44F06D9E">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1E1B938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感知主控模组</w:t>
            </w:r>
          </w:p>
        </w:tc>
        <w:tc>
          <w:tcPr>
            <w:tcW w:w="1648" w:type="pct"/>
            <w:shd w:val="clear" w:color="auto" w:fill="auto"/>
            <w:vAlign w:val="center"/>
          </w:tcPr>
          <w:p w14:paraId="0EFD32D5">
            <w:pPr>
              <w:ind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1.空中接口协议 EPC global UHF Class 1 Gen 2 / ISO 18000-6C</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2.工作频谱范围 860MHz ～960MHz；输出功率 0 ～33dBm；输出功率精度 +/- 1dB；输出功率平坦度 +/- 0.25dB；盘存标签峰值速度 ≥700 张/秒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3.可扩展8个感知增益模块</w:t>
            </w:r>
          </w:p>
        </w:tc>
        <w:tc>
          <w:tcPr>
            <w:tcW w:w="300" w:type="pct"/>
            <w:shd w:val="clear" w:color="000000" w:fill="FFFFFF"/>
            <w:vAlign w:val="center"/>
          </w:tcPr>
          <w:p w14:paraId="43DB68B7">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napToGrid w:val="0"/>
                <w:kern w:val="0"/>
                <w:sz w:val="24"/>
                <w:szCs w:val="24"/>
              </w:rPr>
              <w:t>套</w:t>
            </w:r>
          </w:p>
        </w:tc>
        <w:tc>
          <w:tcPr>
            <w:tcW w:w="282" w:type="pct"/>
            <w:shd w:val="clear" w:color="000000" w:fill="FFFFFF"/>
            <w:vAlign w:val="center"/>
          </w:tcPr>
          <w:p w14:paraId="246D952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76D649E0">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606B2A19">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648319D1">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26" w:type="pct"/>
            <w:vMerge w:val="continue"/>
            <w:shd w:val="clear" w:color="auto" w:fill="auto"/>
            <w:vAlign w:val="center"/>
          </w:tcPr>
          <w:p w14:paraId="47109D9A">
            <w:pPr>
              <w:widowControl/>
              <w:snapToGrid w:val="0"/>
              <w:ind w:firstLine="0" w:firstLineChars="0"/>
              <w:rPr>
                <w:rFonts w:hint="eastAsia" w:ascii="宋体" w:hAnsi="宋体" w:eastAsia="宋体" w:cs="宋体"/>
                <w:sz w:val="24"/>
                <w:szCs w:val="24"/>
              </w:rPr>
            </w:pPr>
          </w:p>
        </w:tc>
      </w:tr>
      <w:tr w14:paraId="2BB1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Merge w:val="continue"/>
            <w:vAlign w:val="center"/>
          </w:tcPr>
          <w:p w14:paraId="46BA5A20">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4B148D0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感知区限制模组</w:t>
            </w:r>
          </w:p>
        </w:tc>
        <w:tc>
          <w:tcPr>
            <w:tcW w:w="1648" w:type="pct"/>
            <w:shd w:val="clear" w:color="auto" w:fill="auto"/>
            <w:vAlign w:val="center"/>
          </w:tcPr>
          <w:p w14:paraId="1508BE8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1.防护高度≥2m</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2.对射频信号有屏蔽和限制能力，能够将射频限制在库区内减少感知信号外溢</w:t>
            </w:r>
          </w:p>
        </w:tc>
        <w:tc>
          <w:tcPr>
            <w:tcW w:w="300" w:type="pct"/>
            <w:shd w:val="clear" w:color="000000" w:fill="FFFFFF"/>
            <w:vAlign w:val="center"/>
          </w:tcPr>
          <w:p w14:paraId="0F424ED9">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napToGrid w:val="0"/>
                <w:kern w:val="0"/>
                <w:sz w:val="24"/>
                <w:szCs w:val="24"/>
              </w:rPr>
              <w:t>套</w:t>
            </w:r>
          </w:p>
        </w:tc>
        <w:tc>
          <w:tcPr>
            <w:tcW w:w="282" w:type="pct"/>
            <w:shd w:val="clear" w:color="000000" w:fill="FFFFFF"/>
            <w:vAlign w:val="center"/>
          </w:tcPr>
          <w:p w14:paraId="4D512C6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46EDBFFC">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7308CC99">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10B005E7">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26" w:type="pct"/>
            <w:vMerge w:val="continue"/>
            <w:shd w:val="clear" w:color="auto" w:fill="auto"/>
            <w:vAlign w:val="center"/>
          </w:tcPr>
          <w:p w14:paraId="4CDBF859">
            <w:pPr>
              <w:widowControl/>
              <w:snapToGrid w:val="0"/>
              <w:ind w:firstLine="0" w:firstLineChars="0"/>
              <w:rPr>
                <w:rFonts w:hint="eastAsia" w:ascii="宋体" w:hAnsi="宋体" w:eastAsia="宋体" w:cs="宋体"/>
                <w:sz w:val="24"/>
                <w:szCs w:val="24"/>
              </w:rPr>
            </w:pPr>
          </w:p>
        </w:tc>
      </w:tr>
      <w:tr w14:paraId="27734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50377782">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758F2BD3">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射频识别仓模组</w:t>
            </w:r>
          </w:p>
        </w:tc>
        <w:tc>
          <w:tcPr>
            <w:tcW w:w="1648" w:type="pct"/>
            <w:shd w:val="clear" w:color="auto" w:fill="auto"/>
            <w:vAlign w:val="center"/>
          </w:tcPr>
          <w:p w14:paraId="13E731F4">
            <w:pPr>
              <w:ind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1.识别数量：单次可识别数量≥120只设备</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2.识别时间：≤30s</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3.空中接口协议 EPC global UHF Class 1 Gen 2 / ISO 18000-6C</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4.工作频谱范围 860MHz ～960MHz；输出功率 0 ～33dBm；输出功率精度 +/- 1dB；输出功率平坦度 +/- 0.25dB；盘存标签峰值速度 ≥700 张/秒</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5.1侧有电动屏蔽装置，在两垛（箱）设备之间间距大于识别仓长度+30cm情况下在防止误读。</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6.外形尺寸≤1500×800×1960，识别仓内部尺寸≥800×700×1700</w:t>
            </w:r>
          </w:p>
        </w:tc>
        <w:tc>
          <w:tcPr>
            <w:tcW w:w="300" w:type="pct"/>
            <w:shd w:val="clear" w:color="000000" w:fill="FFFFFF"/>
            <w:vAlign w:val="center"/>
          </w:tcPr>
          <w:p w14:paraId="359717B7">
            <w:pPr>
              <w:widowControl/>
              <w:snapToGrid w:val="0"/>
              <w:ind w:firstLine="0" w:firstLineChars="0"/>
              <w:jc w:val="center"/>
              <w:rPr>
                <w:rFonts w:hint="eastAsia" w:ascii="宋体" w:hAnsi="宋体" w:eastAsia="宋体" w:cs="宋体"/>
                <w:sz w:val="24"/>
                <w:szCs w:val="24"/>
              </w:rPr>
            </w:pPr>
            <w:r>
              <w:rPr>
                <w:rFonts w:hint="eastAsia" w:ascii="宋体" w:hAnsi="宋体" w:eastAsia="宋体" w:cs="宋体"/>
                <w:snapToGrid w:val="0"/>
                <w:kern w:val="0"/>
                <w:sz w:val="24"/>
                <w:szCs w:val="24"/>
              </w:rPr>
              <w:t>套</w:t>
            </w:r>
          </w:p>
        </w:tc>
        <w:tc>
          <w:tcPr>
            <w:tcW w:w="282" w:type="pct"/>
            <w:shd w:val="clear" w:color="000000" w:fill="FFFFFF"/>
            <w:vAlign w:val="center"/>
          </w:tcPr>
          <w:p w14:paraId="2B6F88D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6DE31BAA">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vAlign w:val="center"/>
          </w:tcPr>
          <w:p w14:paraId="3B6C2EA4">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0A7A7F8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3B25C003">
            <w:pPr>
              <w:widowControl/>
              <w:snapToGrid w:val="0"/>
              <w:ind w:firstLine="0" w:firstLineChars="0"/>
              <w:rPr>
                <w:rFonts w:hint="eastAsia" w:ascii="宋体" w:hAnsi="宋体" w:eastAsia="宋体" w:cs="宋体"/>
                <w:sz w:val="24"/>
                <w:szCs w:val="24"/>
              </w:rPr>
            </w:pPr>
          </w:p>
        </w:tc>
      </w:tr>
      <w:tr w14:paraId="090F6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23B57DC2">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7D06238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通信转行供电一体模块</w:t>
            </w:r>
          </w:p>
        </w:tc>
        <w:tc>
          <w:tcPr>
            <w:tcW w:w="1648" w:type="pct"/>
            <w:shd w:val="clear" w:color="auto" w:fill="auto"/>
            <w:vAlign w:val="center"/>
          </w:tcPr>
          <w:p w14:paraId="553E874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1.2路RS485通信与供电融合接口/1路USB接口</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2.有USBRS485透传功能</w:t>
            </w:r>
          </w:p>
        </w:tc>
        <w:tc>
          <w:tcPr>
            <w:tcW w:w="300" w:type="pct"/>
            <w:shd w:val="clear" w:color="000000" w:fill="FFFFFF"/>
            <w:vAlign w:val="center"/>
          </w:tcPr>
          <w:p w14:paraId="0784FADA">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82" w:type="pct"/>
            <w:shd w:val="clear" w:color="000000" w:fill="FFFFFF"/>
            <w:vAlign w:val="center"/>
          </w:tcPr>
          <w:p w14:paraId="1596A9D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0F36D6BF">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vAlign w:val="center"/>
          </w:tcPr>
          <w:p w14:paraId="5CF3E5DB">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4A95BCE1">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5FF8BF9A">
            <w:pPr>
              <w:widowControl/>
              <w:snapToGrid w:val="0"/>
              <w:ind w:firstLine="0" w:firstLineChars="0"/>
              <w:rPr>
                <w:rFonts w:hint="eastAsia" w:ascii="宋体" w:hAnsi="宋体" w:eastAsia="宋体" w:cs="宋体"/>
                <w:sz w:val="24"/>
                <w:szCs w:val="24"/>
              </w:rPr>
            </w:pPr>
          </w:p>
        </w:tc>
      </w:tr>
      <w:tr w14:paraId="7842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2ECEF5EF">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1F4246C2">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主控单元</w:t>
            </w:r>
          </w:p>
        </w:tc>
        <w:tc>
          <w:tcPr>
            <w:tcW w:w="1648" w:type="pct"/>
            <w:shd w:val="clear" w:color="auto" w:fill="auto"/>
            <w:vAlign w:val="center"/>
          </w:tcPr>
          <w:p w14:paraId="6C7AD946">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性能不低于：CPU主频2.5GHz/内存16G/512G固态</w:t>
            </w:r>
          </w:p>
        </w:tc>
        <w:tc>
          <w:tcPr>
            <w:tcW w:w="300" w:type="pct"/>
            <w:shd w:val="clear" w:color="000000" w:fill="FFFFFF"/>
            <w:vAlign w:val="center"/>
          </w:tcPr>
          <w:p w14:paraId="53DEDA38">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套</w:t>
            </w:r>
          </w:p>
        </w:tc>
        <w:tc>
          <w:tcPr>
            <w:tcW w:w="282" w:type="pct"/>
            <w:shd w:val="clear" w:color="000000" w:fill="FFFFFF"/>
            <w:vAlign w:val="center"/>
          </w:tcPr>
          <w:p w14:paraId="4ACE51F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w:t>
            </w:r>
          </w:p>
        </w:tc>
        <w:tc>
          <w:tcPr>
            <w:tcW w:w="353" w:type="pct"/>
            <w:shd w:val="clear" w:color="auto" w:fill="auto"/>
            <w:vAlign w:val="center"/>
          </w:tcPr>
          <w:p w14:paraId="2B909C8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34656D4D">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5A6649CA">
            <w:pPr>
              <w:widowControl/>
              <w:snapToGrid w:val="0"/>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sz w:val="24"/>
                <w:szCs w:val="24"/>
              </w:rPr>
              <w:t>买方指定地点</w:t>
            </w:r>
          </w:p>
        </w:tc>
        <w:tc>
          <w:tcPr>
            <w:tcW w:w="526" w:type="pct"/>
            <w:vMerge w:val="continue"/>
            <w:shd w:val="clear" w:color="auto" w:fill="auto"/>
            <w:vAlign w:val="center"/>
          </w:tcPr>
          <w:p w14:paraId="5898105C">
            <w:pPr>
              <w:widowControl/>
              <w:snapToGrid w:val="0"/>
              <w:ind w:firstLine="0" w:firstLineChars="0"/>
              <w:rPr>
                <w:rFonts w:hint="eastAsia" w:ascii="宋体" w:hAnsi="宋体" w:eastAsia="宋体" w:cs="宋体"/>
                <w:sz w:val="24"/>
                <w:szCs w:val="24"/>
              </w:rPr>
            </w:pPr>
          </w:p>
        </w:tc>
      </w:tr>
      <w:tr w14:paraId="5706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1F20E778">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344BBD7E">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触控模组</w:t>
            </w:r>
          </w:p>
        </w:tc>
        <w:tc>
          <w:tcPr>
            <w:tcW w:w="1648" w:type="pct"/>
            <w:shd w:val="clear" w:color="auto" w:fill="auto"/>
            <w:vAlign w:val="center"/>
          </w:tcPr>
          <w:p w14:paraId="42AFB3CE">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性能不低于：尺寸≥24"/分辨率≥1920*1080/支持壁挂</w:t>
            </w:r>
          </w:p>
        </w:tc>
        <w:tc>
          <w:tcPr>
            <w:tcW w:w="300" w:type="pct"/>
            <w:shd w:val="clear" w:color="000000" w:fill="FFFFFF"/>
            <w:vAlign w:val="center"/>
          </w:tcPr>
          <w:p w14:paraId="0FCCA98B">
            <w:pPr>
              <w:widowControl/>
              <w:snapToGrid w:val="0"/>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套</w:t>
            </w:r>
          </w:p>
        </w:tc>
        <w:tc>
          <w:tcPr>
            <w:tcW w:w="282" w:type="pct"/>
            <w:shd w:val="clear" w:color="000000" w:fill="FFFFFF"/>
            <w:vAlign w:val="center"/>
          </w:tcPr>
          <w:p w14:paraId="51777F4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14</w:t>
            </w:r>
          </w:p>
        </w:tc>
        <w:tc>
          <w:tcPr>
            <w:tcW w:w="353" w:type="pct"/>
            <w:shd w:val="clear" w:color="auto" w:fill="auto"/>
            <w:vAlign w:val="center"/>
          </w:tcPr>
          <w:p w14:paraId="6BE9B69B">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7D36CFE7">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0111B4F9">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7B8B7B72">
            <w:pPr>
              <w:widowControl/>
              <w:snapToGrid w:val="0"/>
              <w:ind w:firstLine="0" w:firstLineChars="0"/>
              <w:rPr>
                <w:rFonts w:hint="eastAsia" w:ascii="宋体" w:hAnsi="宋体" w:eastAsia="宋体" w:cs="宋体"/>
                <w:sz w:val="24"/>
                <w:szCs w:val="24"/>
              </w:rPr>
            </w:pPr>
          </w:p>
        </w:tc>
      </w:tr>
      <w:tr w14:paraId="39C74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481E6269">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56B92590">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打印模块</w:t>
            </w:r>
          </w:p>
        </w:tc>
        <w:tc>
          <w:tcPr>
            <w:tcW w:w="1648" w:type="pct"/>
            <w:shd w:val="clear" w:color="auto" w:fill="auto"/>
            <w:vAlign w:val="center"/>
          </w:tcPr>
          <w:p w14:paraId="138C8985">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最大支持幅面A4/打印速度≥19页/分钟</w:t>
            </w:r>
          </w:p>
        </w:tc>
        <w:tc>
          <w:tcPr>
            <w:tcW w:w="300" w:type="pct"/>
            <w:shd w:val="clear" w:color="000000" w:fill="FFFFFF"/>
            <w:vAlign w:val="center"/>
          </w:tcPr>
          <w:p w14:paraId="1FE126B8">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82" w:type="pct"/>
            <w:shd w:val="clear" w:color="000000" w:fill="FFFFFF"/>
            <w:vAlign w:val="center"/>
          </w:tcPr>
          <w:p w14:paraId="0A6B79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04C55846">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4DA1F357">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5B1A065F">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1A82AA4C">
            <w:pPr>
              <w:widowControl/>
              <w:snapToGrid w:val="0"/>
              <w:ind w:firstLine="0" w:firstLineChars="0"/>
              <w:rPr>
                <w:rFonts w:hint="eastAsia" w:ascii="宋体" w:hAnsi="宋体" w:eastAsia="宋体" w:cs="宋体"/>
                <w:sz w:val="24"/>
                <w:szCs w:val="24"/>
              </w:rPr>
            </w:pPr>
          </w:p>
        </w:tc>
      </w:tr>
      <w:tr w14:paraId="493DD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6BE2BAD3">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2252FF0B">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条形码识别模块</w:t>
            </w:r>
          </w:p>
        </w:tc>
        <w:tc>
          <w:tcPr>
            <w:tcW w:w="1648" w:type="pct"/>
            <w:shd w:val="clear" w:color="auto" w:fill="auto"/>
            <w:vAlign w:val="center"/>
          </w:tcPr>
          <w:p w14:paraId="4FB0BADC">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一维码识别/扫描精度3-4mil/无线通信</w:t>
            </w:r>
          </w:p>
        </w:tc>
        <w:tc>
          <w:tcPr>
            <w:tcW w:w="300" w:type="pct"/>
            <w:shd w:val="clear" w:color="000000" w:fill="FFFFFF"/>
            <w:vAlign w:val="center"/>
          </w:tcPr>
          <w:p w14:paraId="0FDB7C6C">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82" w:type="pct"/>
            <w:shd w:val="clear" w:color="000000" w:fill="FFFFFF"/>
            <w:vAlign w:val="center"/>
          </w:tcPr>
          <w:p w14:paraId="67BDBB7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6BBB5FB0">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1B24E9D3">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46F63BF8">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01BB2993">
            <w:pPr>
              <w:widowControl/>
              <w:snapToGrid w:val="0"/>
              <w:ind w:firstLine="0" w:firstLineChars="0"/>
              <w:rPr>
                <w:rFonts w:hint="eastAsia" w:ascii="宋体" w:hAnsi="宋体" w:eastAsia="宋体" w:cs="宋体"/>
                <w:sz w:val="24"/>
                <w:szCs w:val="24"/>
              </w:rPr>
            </w:pPr>
          </w:p>
        </w:tc>
      </w:tr>
      <w:tr w14:paraId="383B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6" w:type="pct"/>
            <w:vMerge w:val="continue"/>
            <w:vAlign w:val="center"/>
          </w:tcPr>
          <w:p w14:paraId="48D18D0E">
            <w:pPr>
              <w:widowControl/>
              <w:snapToGrid w:val="0"/>
              <w:ind w:firstLine="0" w:firstLineChars="0"/>
              <w:rPr>
                <w:rFonts w:hint="eastAsia" w:ascii="宋体" w:hAnsi="宋体" w:eastAsia="宋体" w:cs="宋体"/>
                <w:sz w:val="24"/>
                <w:szCs w:val="24"/>
              </w:rPr>
            </w:pPr>
          </w:p>
        </w:tc>
        <w:tc>
          <w:tcPr>
            <w:tcW w:w="606" w:type="pct"/>
            <w:shd w:val="clear" w:color="auto" w:fill="auto"/>
            <w:vAlign w:val="center"/>
          </w:tcPr>
          <w:p w14:paraId="4F6FD7F9">
            <w:pPr>
              <w:ind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语音交互模块</w:t>
            </w:r>
          </w:p>
        </w:tc>
        <w:tc>
          <w:tcPr>
            <w:tcW w:w="1648" w:type="pct"/>
            <w:shd w:val="clear" w:color="auto" w:fill="auto"/>
            <w:vAlign w:val="center"/>
          </w:tcPr>
          <w:p w14:paraId="6F19DFDF">
            <w:pPr>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1.功率≥10W</w:t>
            </w:r>
            <w:r>
              <w:rPr>
                <w:rFonts w:hint="eastAsia" w:ascii="宋体" w:hAnsi="宋体" w:eastAsia="宋体" w:cs="宋体"/>
                <w:sz w:val="24"/>
                <w:szCs w:val="24"/>
                <w:lang w:val="en-US" w:eastAsia="zh-CN"/>
              </w:rPr>
              <w:br w:type="textWrapping"/>
            </w:r>
            <w:r>
              <w:rPr>
                <w:rFonts w:hint="eastAsia" w:ascii="宋体" w:hAnsi="宋体" w:eastAsia="宋体" w:cs="宋体"/>
                <w:sz w:val="24"/>
                <w:szCs w:val="24"/>
                <w:lang w:val="en-US" w:eastAsia="zh-CN"/>
              </w:rPr>
              <w:t>2.220V供电</w:t>
            </w:r>
          </w:p>
        </w:tc>
        <w:tc>
          <w:tcPr>
            <w:tcW w:w="300" w:type="pct"/>
            <w:shd w:val="clear" w:color="000000" w:fill="FFFFFF"/>
            <w:vAlign w:val="center"/>
          </w:tcPr>
          <w:p w14:paraId="31367D3D">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套</w:t>
            </w:r>
          </w:p>
        </w:tc>
        <w:tc>
          <w:tcPr>
            <w:tcW w:w="282" w:type="pct"/>
            <w:shd w:val="clear" w:color="000000" w:fill="FFFFFF"/>
            <w:vAlign w:val="center"/>
          </w:tcPr>
          <w:p w14:paraId="27ECCD0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w:t>
            </w:r>
          </w:p>
        </w:tc>
        <w:tc>
          <w:tcPr>
            <w:tcW w:w="353" w:type="pct"/>
            <w:shd w:val="clear" w:color="auto" w:fill="auto"/>
            <w:vAlign w:val="center"/>
          </w:tcPr>
          <w:p w14:paraId="70EEB207">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接到供货通知后</w:t>
            </w:r>
            <w:r>
              <w:rPr>
                <w:rFonts w:hint="eastAsia" w:ascii="宋体" w:hAnsi="宋体" w:eastAsia="宋体" w:cs="宋体"/>
                <w:sz w:val="24"/>
                <w:szCs w:val="24"/>
                <w:lang w:val="en-US" w:eastAsia="zh-CN"/>
              </w:rPr>
              <w:t>15</w:t>
            </w:r>
            <w:r>
              <w:rPr>
                <w:rFonts w:hint="eastAsia" w:ascii="宋体" w:hAnsi="宋体" w:eastAsia="宋体" w:cs="宋体"/>
                <w:sz w:val="24"/>
                <w:szCs w:val="24"/>
              </w:rPr>
              <w:t>日内</w:t>
            </w:r>
          </w:p>
        </w:tc>
        <w:tc>
          <w:tcPr>
            <w:tcW w:w="405" w:type="pct"/>
            <w:shd w:val="clear" w:color="auto" w:fill="auto"/>
            <w:vAlign w:val="center"/>
          </w:tcPr>
          <w:p w14:paraId="630F7CE9">
            <w:pPr>
              <w:widowControl/>
              <w:snapToGrid w:val="0"/>
              <w:ind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1年</w:t>
            </w:r>
          </w:p>
        </w:tc>
        <w:tc>
          <w:tcPr>
            <w:tcW w:w="328" w:type="pct"/>
            <w:shd w:val="clear" w:color="auto" w:fill="auto"/>
            <w:vAlign w:val="center"/>
          </w:tcPr>
          <w:p w14:paraId="3612CD93">
            <w:pPr>
              <w:widowControl/>
              <w:snapToGrid w:val="0"/>
              <w:ind w:firstLine="0" w:firstLineChars="0"/>
              <w:rPr>
                <w:rFonts w:hint="eastAsia" w:ascii="宋体" w:hAnsi="宋体" w:eastAsia="宋体" w:cs="宋体"/>
                <w:sz w:val="24"/>
                <w:szCs w:val="24"/>
              </w:rPr>
            </w:pPr>
            <w:r>
              <w:rPr>
                <w:rFonts w:hint="eastAsia" w:ascii="宋体" w:hAnsi="宋体" w:eastAsia="宋体" w:cs="宋体"/>
                <w:sz w:val="24"/>
                <w:szCs w:val="24"/>
              </w:rPr>
              <w:t>买方指定地点</w:t>
            </w:r>
          </w:p>
        </w:tc>
        <w:tc>
          <w:tcPr>
            <w:tcW w:w="526" w:type="pct"/>
            <w:vMerge w:val="continue"/>
            <w:shd w:val="clear" w:color="auto" w:fill="auto"/>
            <w:vAlign w:val="center"/>
          </w:tcPr>
          <w:p w14:paraId="67079252">
            <w:pPr>
              <w:widowControl/>
              <w:snapToGrid w:val="0"/>
              <w:ind w:firstLine="0" w:firstLineChars="0"/>
              <w:rPr>
                <w:rFonts w:hint="eastAsia" w:ascii="宋体" w:hAnsi="宋体" w:eastAsia="宋体" w:cs="宋体"/>
                <w:sz w:val="24"/>
                <w:szCs w:val="24"/>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5482D4E">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3358E66">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0A35CE7D">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0DED6017"/>
    <w:rsid w:val="1E71154D"/>
    <w:rsid w:val="1F4B3000"/>
    <w:rsid w:val="247A4BEB"/>
    <w:rsid w:val="26367679"/>
    <w:rsid w:val="26EC60A8"/>
    <w:rsid w:val="37DC3A83"/>
    <w:rsid w:val="39333B77"/>
    <w:rsid w:val="3F0540CC"/>
    <w:rsid w:val="4277023E"/>
    <w:rsid w:val="449717FC"/>
    <w:rsid w:val="4A5767AB"/>
    <w:rsid w:val="51D14780"/>
    <w:rsid w:val="525E5C4F"/>
    <w:rsid w:val="55AA3239"/>
    <w:rsid w:val="5BE36C55"/>
    <w:rsid w:val="5E2F405E"/>
    <w:rsid w:val="60601D56"/>
    <w:rsid w:val="629E5F73"/>
    <w:rsid w:val="73450FE4"/>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6024</Words>
  <Characters>6829</Characters>
  <Lines>0</Lines>
  <Paragraphs>0</Paragraphs>
  <TotalTime>0</TotalTime>
  <ScaleCrop>false</ScaleCrop>
  <LinksUpToDate>false</LinksUpToDate>
  <CharactersWithSpaces>6892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