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2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2"/>
        <w:gridCol w:w="1788"/>
        <w:gridCol w:w="4864"/>
        <w:gridCol w:w="887"/>
        <w:gridCol w:w="833"/>
        <w:gridCol w:w="1041"/>
        <w:gridCol w:w="1196"/>
        <w:gridCol w:w="970"/>
        <w:gridCol w:w="1666"/>
      </w:tblGrid>
      <w:tr w14:paraId="5E20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blHeader/>
          <w:jc w:val="center"/>
        </w:trPr>
        <w:tc>
          <w:tcPr>
            <w:tcW w:w="542" w:type="pct"/>
            <w:vAlign w:val="center"/>
          </w:tcPr>
          <w:p w14:paraId="74149644">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01" w:type="pct"/>
            <w:shd w:val="clear" w:color="auto" w:fill="auto"/>
            <w:vAlign w:val="center"/>
          </w:tcPr>
          <w:p w14:paraId="7AD6DD79">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物资名称</w:t>
            </w:r>
          </w:p>
        </w:tc>
        <w:tc>
          <w:tcPr>
            <w:tcW w:w="1635" w:type="pct"/>
            <w:shd w:val="clear" w:color="auto" w:fill="auto"/>
            <w:vAlign w:val="center"/>
          </w:tcPr>
          <w:p w14:paraId="0404E69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主要技术要求</w:t>
            </w:r>
          </w:p>
        </w:tc>
        <w:tc>
          <w:tcPr>
            <w:tcW w:w="298" w:type="pct"/>
            <w:shd w:val="clear" w:color="auto" w:fill="auto"/>
            <w:vAlign w:val="center"/>
          </w:tcPr>
          <w:p w14:paraId="7D6E50A5">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单位</w:t>
            </w:r>
          </w:p>
        </w:tc>
        <w:tc>
          <w:tcPr>
            <w:tcW w:w="280" w:type="pct"/>
            <w:shd w:val="clear" w:color="auto" w:fill="auto"/>
            <w:vAlign w:val="center"/>
          </w:tcPr>
          <w:p w14:paraId="1B8209E2">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数量</w:t>
            </w:r>
          </w:p>
        </w:tc>
        <w:tc>
          <w:tcPr>
            <w:tcW w:w="350" w:type="pct"/>
            <w:shd w:val="clear" w:color="auto" w:fill="auto"/>
            <w:vAlign w:val="center"/>
          </w:tcPr>
          <w:p w14:paraId="7D22D39A">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交货日期</w:t>
            </w:r>
          </w:p>
        </w:tc>
        <w:tc>
          <w:tcPr>
            <w:tcW w:w="402" w:type="pct"/>
            <w:vAlign w:val="center"/>
          </w:tcPr>
          <w:p w14:paraId="70511428">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质保期（不低于）</w:t>
            </w:r>
          </w:p>
        </w:tc>
        <w:tc>
          <w:tcPr>
            <w:tcW w:w="326" w:type="pct"/>
            <w:shd w:val="clear" w:color="auto" w:fill="auto"/>
            <w:vAlign w:val="center"/>
          </w:tcPr>
          <w:p w14:paraId="3F0BE884">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交货地点</w:t>
            </w:r>
          </w:p>
        </w:tc>
        <w:tc>
          <w:tcPr>
            <w:tcW w:w="560" w:type="pct"/>
            <w:shd w:val="clear" w:color="auto" w:fill="auto"/>
            <w:vAlign w:val="center"/>
          </w:tcPr>
          <w:p w14:paraId="6625771A">
            <w:pPr>
              <w:widowControl/>
              <w:snapToGrid w:val="0"/>
              <w:ind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专用业绩要求</w:t>
            </w:r>
          </w:p>
        </w:tc>
      </w:tr>
      <w:tr w14:paraId="221D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vMerge w:val="restart"/>
            <w:vAlign w:val="center"/>
          </w:tcPr>
          <w:p w14:paraId="4925373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一体化盘点模组等采购项目</w:t>
            </w:r>
          </w:p>
        </w:tc>
        <w:tc>
          <w:tcPr>
            <w:tcW w:w="601" w:type="pct"/>
            <w:shd w:val="clear" w:color="auto" w:fill="auto"/>
            <w:vAlign w:val="center"/>
          </w:tcPr>
          <w:p w14:paraId="4BF53E6F">
            <w:pPr>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一体化装备盘点模组</w:t>
            </w:r>
          </w:p>
        </w:tc>
        <w:tc>
          <w:tcPr>
            <w:tcW w:w="1635" w:type="pct"/>
            <w:shd w:val="clear" w:color="auto" w:fill="auto"/>
            <w:vAlign w:val="center"/>
          </w:tcPr>
          <w:p w14:paraId="20E764E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1.脉冲宽度：20±2@50kHz/16±2@50kHz；</w:t>
            </w:r>
          </w:p>
          <w:p w14:paraId="1ED6C69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2.功率稳定性：≤3% rms；</w:t>
            </w:r>
          </w:p>
          <w:p w14:paraId="1A23601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3.冷却方式：水冷；</w:t>
            </w:r>
          </w:p>
          <w:p w14:paraId="155F0ED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4.高速振镜；场镜系统支持F160/110×110、F210/150×150规格；</w:t>
            </w:r>
          </w:p>
          <w:p w14:paraId="0C248DE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5.标记线速：≤7000，支持高速振镜选配；</w:t>
            </w:r>
          </w:p>
          <w:p w14:paraId="6473000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6.标记最小线宽：≤0.04；</w:t>
            </w:r>
          </w:p>
          <w:p w14:paraId="29E5845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7.最小字符高度：0.2；</w:t>
            </w:r>
          </w:p>
          <w:p w14:paraId="370A205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8.系统供电：AC220V/50Hz, AC110V/60Hz, 电压波动±5%；</w:t>
            </w:r>
          </w:p>
          <w:p w14:paraId="21D1506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9.运行环境温度：10～35℃；</w:t>
            </w:r>
          </w:p>
          <w:p w14:paraId="3AE224C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10.支持操作系统：Windows XP/7/8.1/10；</w:t>
            </w:r>
          </w:p>
          <w:p w14:paraId="40EA230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11.支持文件格式：矢量：AI/PLT/DXF/dst/Svg；位图：BMP/JPG/JPEG/PNG/tga/Tif。</w:t>
            </w:r>
          </w:p>
        </w:tc>
        <w:tc>
          <w:tcPr>
            <w:tcW w:w="298" w:type="pct"/>
            <w:shd w:val="clear" w:color="auto" w:fill="auto"/>
            <w:vAlign w:val="center"/>
          </w:tcPr>
          <w:p w14:paraId="3E93DE91">
            <w:pPr>
              <w:widowControl/>
              <w:snapToGrid w:val="0"/>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280" w:type="pct"/>
            <w:shd w:val="clear" w:color="auto" w:fill="auto"/>
            <w:vAlign w:val="center"/>
          </w:tcPr>
          <w:p w14:paraId="6A81F871">
            <w:pPr>
              <w:widowControl/>
              <w:snapToGrid w:val="0"/>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350" w:type="pct"/>
            <w:shd w:val="clear" w:color="auto" w:fill="auto"/>
            <w:vAlign w:val="center"/>
          </w:tcPr>
          <w:p w14:paraId="281884A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shd w:val="clear" w:color="auto" w:fill="auto"/>
            <w:vAlign w:val="center"/>
          </w:tcPr>
          <w:p w14:paraId="7FCFA965">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1年</w:t>
            </w:r>
          </w:p>
        </w:tc>
        <w:tc>
          <w:tcPr>
            <w:tcW w:w="326" w:type="pct"/>
            <w:shd w:val="clear" w:color="auto" w:fill="auto"/>
            <w:vAlign w:val="center"/>
          </w:tcPr>
          <w:p w14:paraId="70EEEB7B">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60" w:type="pct"/>
            <w:vMerge w:val="restart"/>
            <w:shd w:val="clear" w:color="auto" w:fill="auto"/>
            <w:vAlign w:val="center"/>
          </w:tcPr>
          <w:p w14:paraId="63AB7EBE">
            <w:pPr>
              <w:widowControl/>
              <w:snapToGrid w:val="0"/>
              <w:ind w:firstLine="0" w:firstLineChars="0"/>
              <w:rPr>
                <w:rFonts w:hint="eastAsia" w:ascii="宋体" w:hAnsi="宋体" w:eastAsia="宋体" w:cs="宋体"/>
                <w:sz w:val="24"/>
                <w:szCs w:val="24"/>
              </w:rPr>
            </w:pPr>
            <w:r>
              <w:rPr>
                <w:rFonts w:hint="eastAsia" w:ascii="宋体" w:hAnsi="宋体" w:eastAsia="宋体" w:cs="宋体"/>
                <w:color w:val="000000" w:themeColor="text1"/>
                <w:kern w:val="0"/>
                <w:sz w:val="24"/>
                <w:szCs w:val="24"/>
                <w14:textFill>
                  <w14:solidFill>
                    <w14:schemeClr w14:val="tx1"/>
                  </w14:solidFill>
                </w14:textFill>
              </w:rPr>
              <w:t>2023年1月1日至2025年12月31日，具有电子元器件销售业绩不少于30万元。注：业绩必须提供对应的合同复印件、发票和相应查验截图。</w:t>
            </w:r>
          </w:p>
        </w:tc>
      </w:tr>
      <w:tr w14:paraId="47D1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vMerge w:val="continue"/>
            <w:vAlign w:val="center"/>
          </w:tcPr>
          <w:p w14:paraId="1CE9B321">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51CF3666">
            <w:pPr>
              <w:ind w:firstLine="0" w:firstLineChars="0"/>
              <w:jc w:val="left"/>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一体式应急物资装备监控模组</w:t>
            </w:r>
          </w:p>
        </w:tc>
        <w:tc>
          <w:tcPr>
            <w:tcW w:w="1635" w:type="pct"/>
            <w:shd w:val="clear" w:color="auto" w:fill="auto"/>
            <w:vAlign w:val="center"/>
          </w:tcPr>
          <w:p w14:paraId="09BECBF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1.存储接口：5个SATA接口，可满配12TB硬盘；</w:t>
            </w:r>
          </w:p>
          <w:p w14:paraId="75DE6C4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2.视频接口：2×HDMI，1×VGA；</w:t>
            </w:r>
          </w:p>
          <w:p w14:paraId="0801C99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3.网络接口：2×RJ45 10 / 100/ 1000Mbps自适应以太网口；</w:t>
            </w:r>
          </w:p>
          <w:p w14:paraId="594A065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4.报警接口：16路报警输入，9路报警输出（其中第9路支持CTRL 12V）；</w:t>
            </w:r>
          </w:p>
          <w:p w14:paraId="3CAD2C6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5.反向供电：1路DC12V 1A；</w:t>
            </w:r>
          </w:p>
          <w:p w14:paraId="292A93B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6.串行接口：1路RS-232接口，2路半双工RS-485接口；</w:t>
            </w:r>
          </w:p>
          <w:p w14:paraId="1E17CE9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7.USB接口：2×USB 2.0，1×USB 3.0；</w:t>
            </w:r>
          </w:p>
          <w:p w14:paraId="2D77BFE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8.扩展接口：1×eSATA；</w:t>
            </w:r>
          </w:p>
          <w:p w14:paraId="22BB8F4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9.输入带宽：160Mbps；</w:t>
            </w:r>
          </w:p>
          <w:p w14:paraId="77CA07C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10.输出带宽：160Mbps；</w:t>
            </w:r>
          </w:p>
          <w:p w14:paraId="6A38822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11.接入能力：16路H.264、H.265格式高清码流接入；</w:t>
            </w:r>
          </w:p>
          <w:p w14:paraId="2889093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12.解码能力：≥24×1080P；</w:t>
            </w:r>
          </w:p>
          <w:p w14:paraId="0BB5806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13.显示能力：≥4K+1080P异源输出。</w:t>
            </w:r>
          </w:p>
        </w:tc>
        <w:tc>
          <w:tcPr>
            <w:tcW w:w="298" w:type="pct"/>
            <w:shd w:val="clear" w:color="auto" w:fill="auto"/>
            <w:vAlign w:val="center"/>
          </w:tcPr>
          <w:p w14:paraId="4B04E165">
            <w:pPr>
              <w:widowControl/>
              <w:snapToGrid w:val="0"/>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auto" w:fill="auto"/>
            <w:vAlign w:val="center"/>
          </w:tcPr>
          <w:p w14:paraId="5D26244B">
            <w:pPr>
              <w:widowControl/>
              <w:snapToGrid w:val="0"/>
              <w:ind w:firstLine="0" w:firstLineChars="0"/>
              <w:jc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350" w:type="pct"/>
            <w:shd w:val="clear" w:color="auto" w:fill="auto"/>
            <w:vAlign w:val="center"/>
          </w:tcPr>
          <w:p w14:paraId="394D626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shd w:val="clear" w:color="auto" w:fill="auto"/>
            <w:vAlign w:val="center"/>
          </w:tcPr>
          <w:p w14:paraId="3600CC51">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1年</w:t>
            </w:r>
          </w:p>
        </w:tc>
        <w:tc>
          <w:tcPr>
            <w:tcW w:w="326" w:type="pct"/>
            <w:shd w:val="clear" w:color="auto" w:fill="auto"/>
            <w:vAlign w:val="center"/>
          </w:tcPr>
          <w:p w14:paraId="00699B0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60" w:type="pct"/>
            <w:vMerge w:val="continue"/>
            <w:shd w:val="clear" w:color="auto" w:fill="auto"/>
            <w:vAlign w:val="center"/>
          </w:tcPr>
          <w:p w14:paraId="2B6B8BE9">
            <w:pPr>
              <w:widowControl/>
              <w:snapToGrid w:val="0"/>
              <w:ind w:firstLine="0" w:firstLineChars="0"/>
              <w:rPr>
                <w:rFonts w:hint="eastAsia" w:ascii="宋体" w:hAnsi="宋体" w:eastAsia="宋体" w:cs="宋体"/>
                <w:sz w:val="24"/>
                <w:szCs w:val="24"/>
              </w:rPr>
            </w:pPr>
          </w:p>
        </w:tc>
      </w:tr>
      <w:tr w14:paraId="02E0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2" w:type="pct"/>
            <w:vMerge w:val="continue"/>
            <w:vAlign w:val="center"/>
          </w:tcPr>
          <w:p w14:paraId="06977BDE">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1675E1CF">
            <w:pPr>
              <w:spacing w:line="280" w:lineRule="exact"/>
              <w:ind w:firstLine="0" w:firstLineChars="0"/>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应急装备视频监测模组</w:t>
            </w:r>
          </w:p>
        </w:tc>
        <w:tc>
          <w:tcPr>
            <w:tcW w:w="1635" w:type="pct"/>
            <w:shd w:val="clear" w:color="auto" w:fill="auto"/>
            <w:vAlign w:val="center"/>
          </w:tcPr>
          <w:p w14:paraId="243F1F6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1.分辨率/帧率：≥2560 × 1440 @30 fps；</w:t>
            </w:r>
          </w:p>
          <w:p w14:paraId="1A89806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2.变焦：32倍光学变焦，16倍数字变倍；</w:t>
            </w:r>
          </w:p>
          <w:p w14:paraId="22A877F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3.传感器类型：1/2.8″ Progressive Scan CMOS；</w:t>
            </w:r>
          </w:p>
          <w:p w14:paraId="6BB512B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4.最低照度：彩色：0.005Lux @ F1.5，AGC ON；黑白：0.001Lux @ F1.5，AGC ON；0 Lux with IR；</w:t>
            </w:r>
          </w:p>
          <w:p w14:paraId="4D2BCC2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5.焦距：5.9～188.8mm；</w:t>
            </w:r>
          </w:p>
          <w:p w14:paraId="5BAAF0D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6.视场角：水平：60.2°～2.3°；垂直：35.2°～1.3°；对角：67.4°～2.6°；</w:t>
            </w:r>
          </w:p>
          <w:p w14:paraId="15F425CC">
            <w:pPr>
              <w:ind w:firstLine="0" w:firstLineChars="0"/>
              <w:jc w:val="left"/>
              <w:rPr>
                <w:rFonts w:hint="eastAsia" w:ascii="宋体" w:hAnsi="宋体" w:eastAsia="宋体" w:cs="宋体"/>
                <w:i w:val="0"/>
                <w:iCs w:val="0"/>
                <w:caps w:val="0"/>
                <w:color w:val="0F1115"/>
                <w:spacing w:val="0"/>
                <w:sz w:val="24"/>
                <w:szCs w:val="24"/>
                <w:shd w:val="clear" w:fill="FFFFFF"/>
                <w:lang w:val="en-US" w:eastAsia="zh-CN"/>
              </w:rPr>
            </w:pPr>
            <w:r>
              <w:rPr>
                <w:rFonts w:hint="eastAsia" w:ascii="宋体" w:hAnsi="宋体" w:eastAsia="宋体" w:cs="宋体"/>
                <w:sz w:val="24"/>
                <w:szCs w:val="24"/>
                <w:lang w:val="en-US" w:eastAsia="zh-CN"/>
              </w:rPr>
              <w:t>7.视频压缩标准：H.265、H.264、MJPEG。</w:t>
            </w:r>
          </w:p>
        </w:tc>
        <w:tc>
          <w:tcPr>
            <w:tcW w:w="298" w:type="pct"/>
            <w:shd w:val="clear" w:color="000000" w:fill="FFFFFF"/>
            <w:vAlign w:val="center"/>
          </w:tcPr>
          <w:p w14:paraId="659E1374">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000000" w:fill="FFFFFF"/>
            <w:vAlign w:val="center"/>
          </w:tcPr>
          <w:p w14:paraId="1D95D6F4">
            <w:pPr>
              <w:widowControl/>
              <w:snapToGrid w:val="0"/>
              <w:ind w:firstLine="0" w:firstLineChars="0"/>
              <w:jc w:val="center"/>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8</w:t>
            </w:r>
          </w:p>
        </w:tc>
        <w:tc>
          <w:tcPr>
            <w:tcW w:w="350" w:type="pct"/>
            <w:shd w:val="clear" w:color="auto" w:fill="auto"/>
            <w:vAlign w:val="center"/>
          </w:tcPr>
          <w:p w14:paraId="274CE6EE">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24CBB2A8">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6" w:type="pct"/>
            <w:shd w:val="clear" w:color="auto" w:fill="auto"/>
            <w:vAlign w:val="center"/>
          </w:tcPr>
          <w:p w14:paraId="24BBC9D4">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720A4B43">
            <w:pPr>
              <w:widowControl/>
              <w:snapToGrid w:val="0"/>
              <w:ind w:firstLine="0" w:firstLineChars="0"/>
              <w:rPr>
                <w:rFonts w:hint="eastAsia" w:ascii="宋体" w:hAnsi="宋体" w:eastAsia="宋体" w:cs="宋体"/>
                <w:sz w:val="24"/>
                <w:szCs w:val="24"/>
              </w:rPr>
            </w:pPr>
          </w:p>
        </w:tc>
      </w:tr>
      <w:tr w14:paraId="352F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34AEDDB8">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32200D71">
            <w:pPr>
              <w:spacing w:line="280" w:lineRule="exact"/>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视频存储模组</w:t>
            </w:r>
          </w:p>
        </w:tc>
        <w:tc>
          <w:tcPr>
            <w:tcW w:w="1635" w:type="pct"/>
            <w:shd w:val="clear" w:color="auto" w:fill="auto"/>
            <w:vAlign w:val="center"/>
          </w:tcPr>
          <w:p w14:paraId="144E375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1.标称容量：≥12TB；</w:t>
            </w:r>
          </w:p>
          <w:p w14:paraId="1FF9623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2.外形规格：3.5-inch；</w:t>
            </w:r>
          </w:p>
          <w:p w14:paraId="52D5B20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3.接口类型：SATA；</w:t>
            </w:r>
          </w:p>
          <w:p w14:paraId="352DD26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4.刻录技术：CMR；</w:t>
            </w:r>
          </w:p>
          <w:p w14:paraId="5B4CC918">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5.转速：≥7200RPM；</w:t>
            </w:r>
          </w:p>
          <w:p w14:paraId="60C09D5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6.缓存：≥512MB；</w:t>
            </w:r>
          </w:p>
          <w:p w14:paraId="5955BEE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7.最大读取速度：≥265MB/s；</w:t>
            </w:r>
          </w:p>
          <w:p w14:paraId="11A888A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8.接口传输速率（最大值）：≥6.0Gb/s；</w:t>
            </w:r>
          </w:p>
          <w:p w14:paraId="76109A1F">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9.平均读写功率（W）：≥9.1W。</w:t>
            </w:r>
          </w:p>
        </w:tc>
        <w:tc>
          <w:tcPr>
            <w:tcW w:w="298" w:type="pct"/>
            <w:shd w:val="clear" w:color="000000" w:fill="FFFFFF"/>
            <w:vAlign w:val="center"/>
          </w:tcPr>
          <w:p w14:paraId="4795BE72">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000000" w:fill="FFFFFF"/>
            <w:vAlign w:val="center"/>
          </w:tcPr>
          <w:p w14:paraId="3CDC0993">
            <w:pPr>
              <w:widowControl/>
              <w:snapToGrid w:val="0"/>
              <w:ind w:firstLine="0" w:firstLineChars="0"/>
              <w:jc w:val="center"/>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350" w:type="pct"/>
            <w:shd w:val="clear" w:color="auto" w:fill="auto"/>
            <w:vAlign w:val="center"/>
          </w:tcPr>
          <w:p w14:paraId="5855C0A4">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73C6F1B0">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1年</w:t>
            </w:r>
          </w:p>
        </w:tc>
        <w:tc>
          <w:tcPr>
            <w:tcW w:w="326" w:type="pct"/>
            <w:shd w:val="clear" w:color="auto" w:fill="auto"/>
            <w:vAlign w:val="center"/>
          </w:tcPr>
          <w:p w14:paraId="220B0EDB">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32F1075A">
            <w:pPr>
              <w:widowControl/>
              <w:snapToGrid w:val="0"/>
              <w:ind w:firstLine="0" w:firstLineChars="0"/>
              <w:rPr>
                <w:rFonts w:hint="eastAsia" w:ascii="宋体" w:hAnsi="宋体" w:eastAsia="宋体" w:cs="宋体"/>
                <w:sz w:val="24"/>
                <w:szCs w:val="24"/>
              </w:rPr>
            </w:pPr>
          </w:p>
        </w:tc>
      </w:tr>
      <w:tr w14:paraId="282F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0001B3DB">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7E65E6BF">
            <w:pPr>
              <w:spacing w:line="280" w:lineRule="exact"/>
              <w:ind w:firstLine="0" w:firstLineChars="0"/>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应急物资装备标签打印模组</w:t>
            </w:r>
          </w:p>
        </w:tc>
        <w:tc>
          <w:tcPr>
            <w:tcW w:w="1635" w:type="pct"/>
            <w:shd w:val="clear" w:color="auto" w:fill="auto"/>
            <w:vAlign w:val="center"/>
          </w:tcPr>
          <w:p w14:paraId="56F1E13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1.内存：≥512MB；</w:t>
            </w:r>
          </w:p>
          <w:p w14:paraId="3A84882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2.打印宽度：4.09英寸/104毫米（203dpi和300dpi）；</w:t>
            </w:r>
          </w:p>
          <w:p w14:paraId="51544FE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3.打印速度：每秒6英寸/152毫米(203dpi) 每秒4英寸/102毫米(300dpi)。</w:t>
            </w:r>
          </w:p>
        </w:tc>
        <w:tc>
          <w:tcPr>
            <w:tcW w:w="298" w:type="pct"/>
            <w:shd w:val="clear" w:color="000000" w:fill="FFFFFF"/>
            <w:vAlign w:val="center"/>
          </w:tcPr>
          <w:p w14:paraId="771B8CC1">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000000" w:fill="FFFFFF"/>
            <w:vAlign w:val="center"/>
          </w:tcPr>
          <w:p w14:paraId="262E153E">
            <w:pPr>
              <w:keepNext w:val="0"/>
              <w:keepLines w:val="0"/>
              <w:pageBreakBefore w:val="0"/>
              <w:widowControl w:val="0"/>
              <w:kinsoku/>
              <w:wordWrap/>
              <w:overflowPunct/>
              <w:topLinePunct/>
              <w:autoSpaceDE/>
              <w:autoSpaceDN/>
              <w:bidi w:val="0"/>
              <w:adjustRightInd w:val="0"/>
              <w:snapToGrid w:val="0"/>
              <w:spacing w:line="240" w:lineRule="atLeast"/>
              <w:ind w:firstLine="0" w:firstLineChars="0"/>
              <w:jc w:val="center"/>
              <w:textAlignment w:val="auto"/>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350" w:type="pct"/>
            <w:shd w:val="clear" w:color="auto" w:fill="auto"/>
            <w:vAlign w:val="center"/>
          </w:tcPr>
          <w:p w14:paraId="097AF78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41397FA8">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1年</w:t>
            </w:r>
          </w:p>
        </w:tc>
        <w:tc>
          <w:tcPr>
            <w:tcW w:w="326" w:type="pct"/>
            <w:shd w:val="clear" w:color="auto" w:fill="auto"/>
            <w:vAlign w:val="center"/>
          </w:tcPr>
          <w:p w14:paraId="3482FB6C">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065BD1E9">
            <w:pPr>
              <w:widowControl/>
              <w:snapToGrid w:val="0"/>
              <w:ind w:firstLine="0" w:firstLineChars="0"/>
              <w:rPr>
                <w:rFonts w:hint="eastAsia" w:ascii="宋体" w:hAnsi="宋体" w:eastAsia="宋体" w:cs="宋体"/>
                <w:sz w:val="24"/>
                <w:szCs w:val="24"/>
              </w:rPr>
            </w:pPr>
          </w:p>
        </w:tc>
      </w:tr>
      <w:tr w14:paraId="7AEB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28D215BB">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093A312D">
            <w:pPr>
              <w:spacing w:line="280" w:lineRule="exact"/>
              <w:ind w:firstLine="0" w:firstLineChars="0"/>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应急物资装备扫描模组</w:t>
            </w:r>
          </w:p>
        </w:tc>
        <w:tc>
          <w:tcPr>
            <w:tcW w:w="1635" w:type="pct"/>
            <w:shd w:val="clear" w:color="auto" w:fill="auto"/>
            <w:vAlign w:val="center"/>
          </w:tcPr>
          <w:p w14:paraId="0CD2DE5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1.光学分辨率：≥1080×1280 像素；</w:t>
            </w:r>
          </w:p>
          <w:p w14:paraId="6EE35D4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2.上下倾斜视角偏离正常角度：≤±60°；</w:t>
            </w:r>
          </w:p>
          <w:p w14:paraId="0D6435E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3.左右偏移视角偏离正常角度：≤±55°；</w:t>
            </w:r>
          </w:p>
          <w:p w14:paraId="48B1271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4.激光安全等级：Class II；</w:t>
            </w:r>
          </w:p>
          <w:p w14:paraId="20D6CA6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5.图像帧率：≥60fps；</w:t>
            </w:r>
          </w:p>
          <w:p w14:paraId="34208987">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6.支持识读的符号体系：一维码涵盖 UPC/EAN、Code128、GS1-128、Code 39、Code 93、Code11、Matrix 2 of 5、Interleaved 2 of 5、Codabar、MSI 等；二维码支持 PDF417、MicroPDF417、Data Matrix、Maxicode、QR Code、MicroQR、Aztec 等；</w:t>
            </w:r>
          </w:p>
          <w:p w14:paraId="2934B99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7.后置摄像头：最大分辨率≥4224×3136，像素≥1300 万，支持 PDAF 相位对焦拍照功能，配备闪光灯+补光功能；</w:t>
            </w:r>
          </w:p>
          <w:p w14:paraId="2D142BD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8.前摄像头：最大分辨率为≥2592×1944，像素≥500 万，采用定焦拍照模式。</w:t>
            </w:r>
          </w:p>
        </w:tc>
        <w:tc>
          <w:tcPr>
            <w:tcW w:w="298" w:type="pct"/>
            <w:shd w:val="clear" w:color="000000" w:fill="FFFFFF"/>
            <w:vAlign w:val="center"/>
          </w:tcPr>
          <w:p w14:paraId="696C8465">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000000" w:fill="FFFFFF"/>
            <w:vAlign w:val="center"/>
          </w:tcPr>
          <w:p w14:paraId="3CDC2F04">
            <w:pPr>
              <w:keepNext w:val="0"/>
              <w:keepLines w:val="0"/>
              <w:pageBreakBefore w:val="0"/>
              <w:widowControl w:val="0"/>
              <w:kinsoku/>
              <w:wordWrap/>
              <w:overflowPunct/>
              <w:topLinePunct/>
              <w:autoSpaceDE/>
              <w:autoSpaceDN/>
              <w:bidi w:val="0"/>
              <w:adjustRightInd w:val="0"/>
              <w:snapToGrid w:val="0"/>
              <w:spacing w:line="240" w:lineRule="atLeast"/>
              <w:ind w:firstLine="0" w:firstLineChars="0"/>
              <w:jc w:val="center"/>
              <w:textAlignment w:val="auto"/>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5</w:t>
            </w:r>
          </w:p>
        </w:tc>
        <w:tc>
          <w:tcPr>
            <w:tcW w:w="350" w:type="pct"/>
            <w:shd w:val="clear" w:color="auto" w:fill="auto"/>
            <w:vAlign w:val="center"/>
          </w:tcPr>
          <w:p w14:paraId="722E57DF">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6EEC1730">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6" w:type="pct"/>
            <w:shd w:val="clear" w:color="auto" w:fill="auto"/>
            <w:vAlign w:val="center"/>
          </w:tcPr>
          <w:p w14:paraId="04AB334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505A629B">
            <w:pPr>
              <w:widowControl/>
              <w:snapToGrid w:val="0"/>
              <w:ind w:firstLine="0" w:firstLineChars="0"/>
              <w:rPr>
                <w:rFonts w:hint="eastAsia" w:ascii="宋体" w:hAnsi="宋体" w:eastAsia="宋体" w:cs="宋体"/>
                <w:sz w:val="24"/>
                <w:szCs w:val="24"/>
              </w:rPr>
            </w:pPr>
          </w:p>
        </w:tc>
      </w:tr>
      <w:tr w14:paraId="38A5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01BD48CC">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7E61CB62">
            <w:pPr>
              <w:spacing w:line="280" w:lineRule="exact"/>
              <w:ind w:firstLine="0" w:firstLineChars="0"/>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数据交换模组</w:t>
            </w:r>
          </w:p>
        </w:tc>
        <w:tc>
          <w:tcPr>
            <w:tcW w:w="1635" w:type="pct"/>
            <w:shd w:val="clear" w:color="auto" w:fill="auto"/>
            <w:vAlign w:val="center"/>
          </w:tcPr>
          <w:p w14:paraId="1BEC193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1.端口配置：24个千兆电口+2个2.5G光口；</w:t>
            </w:r>
          </w:p>
          <w:p w14:paraId="62C5C05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2.PoE供电：PoE总功率：225W；支持供电优先：1-16口；转发优先：1-8口；</w:t>
            </w:r>
          </w:p>
          <w:p w14:paraId="7FBBF3D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3.交换容量/包转发：58G/43.2M；</w:t>
            </w:r>
          </w:p>
          <w:p w14:paraId="325DAFD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4.工作模式：支持四级拨码开关，一键切换四种模式：标准交换、端口隔离、汇聚上联、长距离连接；</w:t>
            </w:r>
          </w:p>
          <w:p w14:paraId="0E3A8045">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5.防雷等级：6KV。</w:t>
            </w:r>
          </w:p>
        </w:tc>
        <w:tc>
          <w:tcPr>
            <w:tcW w:w="298" w:type="pct"/>
            <w:shd w:val="clear" w:color="000000" w:fill="FFFFFF"/>
            <w:vAlign w:val="center"/>
          </w:tcPr>
          <w:p w14:paraId="3CD8D8AA">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台</w:t>
            </w:r>
          </w:p>
        </w:tc>
        <w:tc>
          <w:tcPr>
            <w:tcW w:w="280" w:type="pct"/>
            <w:shd w:val="clear" w:color="000000" w:fill="FFFFFF"/>
            <w:vAlign w:val="center"/>
          </w:tcPr>
          <w:p w14:paraId="171A6196">
            <w:pPr>
              <w:keepNext w:val="0"/>
              <w:keepLines w:val="0"/>
              <w:pageBreakBefore w:val="0"/>
              <w:widowControl w:val="0"/>
              <w:kinsoku/>
              <w:wordWrap/>
              <w:overflowPunct/>
              <w:topLinePunct/>
              <w:autoSpaceDE/>
              <w:autoSpaceDN/>
              <w:bidi w:val="0"/>
              <w:adjustRightInd w:val="0"/>
              <w:snapToGrid w:val="0"/>
              <w:spacing w:line="240" w:lineRule="atLeast"/>
              <w:ind w:firstLine="0" w:firstLineChars="0"/>
              <w:jc w:val="center"/>
              <w:textAlignment w:val="auto"/>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2</w:t>
            </w:r>
          </w:p>
        </w:tc>
        <w:tc>
          <w:tcPr>
            <w:tcW w:w="350" w:type="pct"/>
            <w:shd w:val="clear" w:color="auto" w:fill="auto"/>
            <w:vAlign w:val="center"/>
          </w:tcPr>
          <w:p w14:paraId="741B707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64DF32A5">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6" w:type="pct"/>
            <w:shd w:val="clear" w:color="auto" w:fill="auto"/>
            <w:vAlign w:val="center"/>
          </w:tcPr>
          <w:p w14:paraId="072B1423">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4B298005">
            <w:pPr>
              <w:widowControl/>
              <w:snapToGrid w:val="0"/>
              <w:ind w:firstLine="0" w:firstLineChars="0"/>
              <w:rPr>
                <w:rFonts w:hint="eastAsia" w:ascii="宋体" w:hAnsi="宋体" w:eastAsia="宋体" w:cs="宋体"/>
                <w:sz w:val="24"/>
                <w:szCs w:val="24"/>
              </w:rPr>
            </w:pPr>
          </w:p>
        </w:tc>
      </w:tr>
      <w:tr w14:paraId="6C81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2" w:type="pct"/>
            <w:vMerge w:val="continue"/>
            <w:vAlign w:val="center"/>
          </w:tcPr>
          <w:p w14:paraId="6EA8309B">
            <w:pPr>
              <w:widowControl/>
              <w:snapToGrid w:val="0"/>
              <w:ind w:firstLine="0" w:firstLineChars="0"/>
              <w:rPr>
                <w:rFonts w:hint="eastAsia" w:ascii="宋体" w:hAnsi="宋体" w:eastAsia="宋体" w:cs="宋体"/>
                <w:sz w:val="24"/>
                <w:szCs w:val="24"/>
              </w:rPr>
            </w:pPr>
          </w:p>
        </w:tc>
        <w:tc>
          <w:tcPr>
            <w:tcW w:w="601" w:type="pct"/>
            <w:shd w:val="clear" w:color="auto" w:fill="auto"/>
            <w:vAlign w:val="center"/>
          </w:tcPr>
          <w:p w14:paraId="39B89B8C">
            <w:pPr>
              <w:spacing w:line="280" w:lineRule="exact"/>
              <w:ind w:firstLine="0" w:firstLineChars="0"/>
              <w:rPr>
                <w:rFonts w:hint="eastAsia" w:ascii="宋体" w:hAnsi="宋体" w:eastAsia="宋体" w:cs="宋体"/>
                <w:i w:val="0"/>
                <w:iCs w:val="0"/>
                <w:color w:val="auto"/>
                <w:kern w:val="0"/>
                <w:sz w:val="24"/>
                <w:szCs w:val="24"/>
                <w:u w:val="none"/>
                <w:lang w:val="en-US" w:eastAsia="zh-CN" w:bidi="ar"/>
              </w:rPr>
            </w:pPr>
            <w:r>
              <w:rPr>
                <w:rFonts w:hint="eastAsia" w:ascii="宋体" w:hAnsi="宋体" w:eastAsia="宋体" w:cs="宋体"/>
                <w:i w:val="0"/>
                <w:iCs w:val="0"/>
                <w:color w:val="auto"/>
                <w:kern w:val="0"/>
                <w:sz w:val="24"/>
                <w:szCs w:val="24"/>
                <w:u w:val="none"/>
                <w:lang w:val="en-US" w:eastAsia="zh-CN" w:bidi="ar"/>
              </w:rPr>
              <w:t>层板货架组件</w:t>
            </w:r>
          </w:p>
        </w:tc>
        <w:tc>
          <w:tcPr>
            <w:tcW w:w="1635" w:type="pct"/>
            <w:shd w:val="clear" w:color="auto" w:fill="auto"/>
            <w:vAlign w:val="center"/>
          </w:tcPr>
          <w:p w14:paraId="13C70B6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1.外形尺寸：L2000 × W600 × H2000 mm；</w:t>
            </w:r>
          </w:p>
          <w:p w14:paraId="0B149CCC">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2.层数：3层；</w:t>
            </w:r>
          </w:p>
          <w:p w14:paraId="5FB561B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3.单层载重：≥500 kg/层；</w:t>
            </w:r>
          </w:p>
          <w:p w14:paraId="2CB54F7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4.立柱截面：75×35 mm C型钢；</w:t>
            </w:r>
          </w:p>
          <w:p w14:paraId="259EC1CA">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5.立柱厚度：≥1.3mm；</w:t>
            </w:r>
          </w:p>
          <w:p w14:paraId="5AA74FB8">
            <w:pPr>
              <w:ind w:firstLine="0" w:firstLineChars="0"/>
              <w:jc w:val="left"/>
              <w:rPr>
                <w:rFonts w:hint="eastAsia" w:ascii="宋体" w:hAnsi="宋体" w:eastAsia="宋体" w:cs="宋体"/>
                <w:i w:val="0"/>
                <w:iCs w:val="0"/>
                <w:caps w:val="0"/>
                <w:color w:val="0F1115"/>
                <w:spacing w:val="0"/>
                <w:sz w:val="24"/>
                <w:szCs w:val="24"/>
                <w:shd w:val="clear" w:fill="FFFFFF"/>
                <w:lang w:val="en-US" w:eastAsia="zh-CN"/>
              </w:rPr>
            </w:pPr>
            <w:r>
              <w:rPr>
                <w:rFonts w:hint="eastAsia" w:ascii="宋体" w:hAnsi="宋体" w:eastAsia="宋体" w:cs="宋体"/>
                <w:sz w:val="24"/>
                <w:szCs w:val="24"/>
                <w:lang w:val="en-US" w:eastAsia="zh-CN"/>
              </w:rPr>
              <w:t>6.材质：冷轧钢板。</w:t>
            </w:r>
          </w:p>
        </w:tc>
        <w:tc>
          <w:tcPr>
            <w:tcW w:w="298" w:type="pct"/>
            <w:shd w:val="clear" w:color="000000" w:fill="FFFFFF"/>
            <w:vAlign w:val="center"/>
          </w:tcPr>
          <w:p w14:paraId="3C1E87CB">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套</w:t>
            </w:r>
          </w:p>
        </w:tc>
        <w:tc>
          <w:tcPr>
            <w:tcW w:w="280" w:type="pct"/>
            <w:shd w:val="clear" w:color="000000" w:fill="FFFFFF"/>
            <w:vAlign w:val="center"/>
          </w:tcPr>
          <w:p w14:paraId="7C8A381E">
            <w:pPr>
              <w:keepNext w:val="0"/>
              <w:keepLines w:val="0"/>
              <w:pageBreakBefore w:val="0"/>
              <w:widowControl w:val="0"/>
              <w:kinsoku/>
              <w:wordWrap/>
              <w:overflowPunct/>
              <w:topLinePunct/>
              <w:autoSpaceDE/>
              <w:autoSpaceDN/>
              <w:bidi w:val="0"/>
              <w:adjustRightInd w:val="0"/>
              <w:snapToGrid w:val="0"/>
              <w:spacing w:line="240" w:lineRule="atLeast"/>
              <w:ind w:firstLine="0" w:firstLineChars="0"/>
              <w:jc w:val="center"/>
              <w:textAlignment w:val="auto"/>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11</w:t>
            </w:r>
          </w:p>
        </w:tc>
        <w:tc>
          <w:tcPr>
            <w:tcW w:w="350" w:type="pct"/>
            <w:shd w:val="clear" w:color="auto" w:fill="auto"/>
            <w:vAlign w:val="center"/>
          </w:tcPr>
          <w:p w14:paraId="7BEB7B3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2" w:type="pct"/>
            <w:vAlign w:val="center"/>
          </w:tcPr>
          <w:p w14:paraId="318282AA">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6" w:type="pct"/>
            <w:shd w:val="clear" w:color="auto" w:fill="auto"/>
            <w:vAlign w:val="center"/>
          </w:tcPr>
          <w:p w14:paraId="77A90AC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60" w:type="pct"/>
            <w:vMerge w:val="continue"/>
            <w:shd w:val="clear" w:color="auto" w:fill="auto"/>
            <w:vAlign w:val="center"/>
          </w:tcPr>
          <w:p w14:paraId="6C5D4BAE">
            <w:pPr>
              <w:widowControl/>
              <w:snapToGrid w:val="0"/>
              <w:ind w:firstLine="0" w:firstLineChars="0"/>
              <w:rPr>
                <w:rFonts w:hint="eastAsia" w:ascii="宋体" w:hAnsi="宋体" w:eastAsia="宋体" w:cs="宋体"/>
                <w:sz w:val="24"/>
                <w:szCs w:val="24"/>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E71154D"/>
    <w:rsid w:val="1F4B3000"/>
    <w:rsid w:val="219B7C27"/>
    <w:rsid w:val="247A4BEB"/>
    <w:rsid w:val="26367679"/>
    <w:rsid w:val="37DC3A83"/>
    <w:rsid w:val="39333B77"/>
    <w:rsid w:val="4277023E"/>
    <w:rsid w:val="4A5767AB"/>
    <w:rsid w:val="51D14780"/>
    <w:rsid w:val="525E5C4F"/>
    <w:rsid w:val="55AA3239"/>
    <w:rsid w:val="55E727B6"/>
    <w:rsid w:val="5BE36C55"/>
    <w:rsid w:val="5E2F405E"/>
    <w:rsid w:val="60601D56"/>
    <w:rsid w:val="629E5F73"/>
    <w:rsid w:val="723A4A80"/>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6584</Words>
  <Characters>7806</Characters>
  <Lines>0</Lines>
  <Paragraphs>0</Paragraphs>
  <TotalTime>0</TotalTime>
  <ScaleCrop>false</ScaleCrop>
  <LinksUpToDate>false</LinksUpToDate>
  <CharactersWithSpaces>7882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