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1789"/>
        <w:gridCol w:w="4862"/>
        <w:gridCol w:w="887"/>
        <w:gridCol w:w="834"/>
        <w:gridCol w:w="1043"/>
        <w:gridCol w:w="1196"/>
        <w:gridCol w:w="970"/>
        <w:gridCol w:w="971"/>
      </w:tblGrid>
      <w:tr w14:paraId="3078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blHeader/>
          <w:jc w:val="center"/>
        </w:trPr>
        <w:tc>
          <w:tcPr>
            <w:tcW w:w="569" w:type="pct"/>
            <w:vAlign w:val="center"/>
          </w:tcPr>
          <w:p w14:paraId="1B9EB049">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31" w:type="pct"/>
            <w:shd w:val="clear" w:color="auto" w:fill="auto"/>
            <w:vAlign w:val="center"/>
          </w:tcPr>
          <w:p w14:paraId="593B5D14">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物资名称</w:t>
            </w:r>
          </w:p>
        </w:tc>
        <w:tc>
          <w:tcPr>
            <w:tcW w:w="1715" w:type="pct"/>
            <w:shd w:val="clear" w:color="auto" w:fill="auto"/>
            <w:vAlign w:val="center"/>
          </w:tcPr>
          <w:p w14:paraId="3A5E608C">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主要技术要求</w:t>
            </w:r>
          </w:p>
        </w:tc>
        <w:tc>
          <w:tcPr>
            <w:tcW w:w="313" w:type="pct"/>
            <w:shd w:val="clear" w:color="auto" w:fill="auto"/>
            <w:vAlign w:val="center"/>
          </w:tcPr>
          <w:p w14:paraId="7382DC11">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单位</w:t>
            </w:r>
          </w:p>
        </w:tc>
        <w:tc>
          <w:tcPr>
            <w:tcW w:w="294" w:type="pct"/>
            <w:shd w:val="clear" w:color="auto" w:fill="auto"/>
            <w:vAlign w:val="center"/>
          </w:tcPr>
          <w:p w14:paraId="16880DEA">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数量</w:t>
            </w:r>
          </w:p>
        </w:tc>
        <w:tc>
          <w:tcPr>
            <w:tcW w:w="368" w:type="pct"/>
            <w:shd w:val="clear" w:color="auto" w:fill="auto"/>
            <w:vAlign w:val="center"/>
          </w:tcPr>
          <w:p w14:paraId="122CB20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交货日期</w:t>
            </w:r>
          </w:p>
        </w:tc>
        <w:tc>
          <w:tcPr>
            <w:tcW w:w="422" w:type="pct"/>
            <w:vAlign w:val="center"/>
          </w:tcPr>
          <w:p w14:paraId="3789928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质保期（不低于）</w:t>
            </w:r>
          </w:p>
        </w:tc>
        <w:tc>
          <w:tcPr>
            <w:tcW w:w="342" w:type="pct"/>
            <w:shd w:val="clear" w:color="auto" w:fill="auto"/>
            <w:vAlign w:val="center"/>
          </w:tcPr>
          <w:p w14:paraId="4B4C37B6">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交货地点</w:t>
            </w:r>
          </w:p>
        </w:tc>
        <w:tc>
          <w:tcPr>
            <w:tcW w:w="342" w:type="pct"/>
            <w:shd w:val="clear" w:color="auto" w:fill="auto"/>
            <w:vAlign w:val="center"/>
          </w:tcPr>
          <w:p w14:paraId="76FFA372">
            <w:pPr>
              <w:widowControl/>
              <w:snapToGrid w:val="0"/>
              <w:ind w:firstLine="0"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专用业绩要求</w:t>
            </w:r>
          </w:p>
        </w:tc>
      </w:tr>
      <w:tr w14:paraId="64AD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restart"/>
            <w:vAlign w:val="center"/>
          </w:tcPr>
          <w:p w14:paraId="7D5BAB0E">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智能AGV搬运模组等采购项目</w:t>
            </w:r>
          </w:p>
        </w:tc>
        <w:tc>
          <w:tcPr>
            <w:tcW w:w="631" w:type="pct"/>
            <w:shd w:val="clear" w:color="auto" w:fill="auto"/>
            <w:vAlign w:val="center"/>
          </w:tcPr>
          <w:p w14:paraId="211B1640">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智能AGV搬运模组</w:t>
            </w:r>
          </w:p>
        </w:tc>
        <w:tc>
          <w:tcPr>
            <w:tcW w:w="1715" w:type="pct"/>
            <w:shd w:val="clear" w:color="auto" w:fill="auto"/>
            <w:vAlign w:val="center"/>
          </w:tcPr>
          <w:p w14:paraId="34282FA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1.类型：潜伏式；</w:t>
            </w:r>
          </w:p>
          <w:p w14:paraId="63FFD16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2.外形尺寸L×W×H：≤780×545×300mm；</w:t>
            </w:r>
          </w:p>
          <w:p w14:paraId="3C2D8E2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3.额定负载：≥400kg；</w:t>
            </w:r>
          </w:p>
          <w:p w14:paraId="5A30606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4.旋转半径：≤410mm；</w:t>
            </w:r>
          </w:p>
          <w:p w14:paraId="32A032D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5.举升高度：≥60mm；</w:t>
            </w:r>
          </w:p>
          <w:p w14:paraId="1AE365A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6.底盘离地间隙：≥30mm；</w:t>
            </w:r>
          </w:p>
          <w:p w14:paraId="406E85C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7.举升台面尺寸：≥724×500；</w:t>
            </w:r>
          </w:p>
          <w:p w14:paraId="286AA1C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8.举升类型：电动举升；</w:t>
            </w:r>
          </w:p>
          <w:p w14:paraId="337DABF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9.自重：≤95kg；</w:t>
            </w:r>
          </w:p>
          <w:p w14:paraId="12CAFE9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10.人机交互方式：触摸屏，AGV本体自带屏幕，显示报警、电量等信息；</w:t>
            </w:r>
          </w:p>
          <w:p w14:paraId="16E9722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11.额定运行速度(空载)：≥2000mm/s；</w:t>
            </w:r>
          </w:p>
          <w:p w14:paraId="1AD1460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12.额定运行速度(额定负载)：≥1800mm/s；</w:t>
            </w:r>
          </w:p>
          <w:p w14:paraId="2697391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13.额定加速度（空载）：≥0.8m/s2；</w:t>
            </w:r>
          </w:p>
          <w:p w14:paraId="744EDE7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14.额定加速度（额定负载）：≥0.4m/s2；</w:t>
            </w:r>
          </w:p>
          <w:p w14:paraId="57B0EBD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15.安全控制：安全扫描激光雷达+光电开关+主运动方向安全防撞触边四级安全防护，具备急停按钮。</w:t>
            </w:r>
          </w:p>
        </w:tc>
        <w:tc>
          <w:tcPr>
            <w:tcW w:w="313" w:type="pct"/>
            <w:shd w:val="clear" w:color="000000" w:fill="FFFFFF"/>
            <w:vAlign w:val="center"/>
          </w:tcPr>
          <w:p w14:paraId="59B3931F">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napToGrid w:val="0"/>
                <w:kern w:val="0"/>
                <w:sz w:val="24"/>
                <w:szCs w:val="24"/>
              </w:rPr>
              <w:t>套</w:t>
            </w:r>
          </w:p>
        </w:tc>
        <w:tc>
          <w:tcPr>
            <w:tcW w:w="294" w:type="pct"/>
            <w:shd w:val="clear" w:color="000000" w:fill="FFFFFF"/>
            <w:vAlign w:val="center"/>
          </w:tcPr>
          <w:p w14:paraId="5FF090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368" w:type="pct"/>
            <w:shd w:val="clear" w:color="auto" w:fill="auto"/>
            <w:vAlign w:val="center"/>
          </w:tcPr>
          <w:p w14:paraId="470426CB">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1869069A">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3565A03F">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restart"/>
            <w:shd w:val="clear" w:color="auto" w:fill="auto"/>
            <w:vAlign w:val="center"/>
          </w:tcPr>
          <w:p w14:paraId="614FCCC1">
            <w:pPr>
              <w:widowControl/>
              <w:snapToGrid w:val="0"/>
              <w:ind w:firstLine="0" w:firstLineChars="0"/>
              <w:rPr>
                <w:rFonts w:hint="eastAsia" w:ascii="宋体" w:hAnsi="宋体" w:eastAsia="宋体" w:cs="宋体"/>
                <w:sz w:val="24"/>
                <w:szCs w:val="24"/>
              </w:rPr>
            </w:pPr>
            <w:r>
              <w:rPr>
                <w:rFonts w:hint="eastAsia" w:ascii="宋体" w:hAnsi="宋体" w:eastAsia="宋体" w:cs="宋体"/>
                <w:color w:val="000000" w:themeColor="text1"/>
                <w:kern w:val="0"/>
                <w:sz w:val="24"/>
                <w:szCs w:val="24"/>
                <w14:textFill>
                  <w14:solidFill>
                    <w14:schemeClr w14:val="tx1"/>
                  </w14:solidFill>
                </w14:textFill>
              </w:rPr>
              <w:t>2023年1月1日至2025年12月31日，具有仓储设备销售业绩不少于260万元。注：业绩必须提供对应的合同复印件、发票和相应查验截图。</w:t>
            </w:r>
          </w:p>
        </w:tc>
      </w:tr>
      <w:tr w14:paraId="2B93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continue"/>
            <w:vAlign w:val="center"/>
          </w:tcPr>
          <w:p w14:paraId="3941B856">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4DE773FE">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栈板码分模组</w:t>
            </w:r>
          </w:p>
        </w:tc>
        <w:tc>
          <w:tcPr>
            <w:tcW w:w="1715" w:type="pct"/>
            <w:shd w:val="clear" w:color="auto" w:fill="auto"/>
            <w:vAlign w:val="center"/>
          </w:tcPr>
          <w:p w14:paraId="710A53C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1.供电电源：220V；</w:t>
            </w:r>
          </w:p>
          <w:p w14:paraId="01F8D90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2.托举方式：手爪夹具；</w:t>
            </w:r>
          </w:p>
          <w:p w14:paraId="79F4B6A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3.堆叠无动力周转车层数：≥6个；</w:t>
            </w:r>
          </w:p>
          <w:p w14:paraId="6959F27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4.有效负载质量：≥100kg（含手爪夹具重量）；</w:t>
            </w:r>
          </w:p>
          <w:p w14:paraId="52F4ECC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5.重复定位精度：≤±1mm；</w:t>
            </w:r>
          </w:p>
          <w:p w14:paraId="7C67E78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6.码垛能力：≤20秒/周期；</w:t>
            </w:r>
          </w:p>
          <w:p w14:paraId="126C25E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7.电气防护等级：≥IP54；技术要求应符合JB/T 5323-2017标准。</w:t>
            </w:r>
          </w:p>
          <w:p w14:paraId="5D13175C">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8.功能要求：够高效、精准地自动完成无动力周转车的拆垛与码垛作业。</w:t>
            </w:r>
          </w:p>
        </w:tc>
        <w:tc>
          <w:tcPr>
            <w:tcW w:w="313" w:type="pct"/>
            <w:shd w:val="clear" w:color="000000" w:fill="FFFFFF"/>
            <w:vAlign w:val="center"/>
          </w:tcPr>
          <w:p w14:paraId="7E294BDB">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napToGrid w:val="0"/>
                <w:kern w:val="0"/>
                <w:sz w:val="24"/>
                <w:szCs w:val="24"/>
              </w:rPr>
              <w:t>套</w:t>
            </w:r>
          </w:p>
        </w:tc>
        <w:tc>
          <w:tcPr>
            <w:tcW w:w="294" w:type="pct"/>
            <w:shd w:val="clear" w:color="000000" w:fill="FFFFFF"/>
            <w:vAlign w:val="center"/>
          </w:tcPr>
          <w:p w14:paraId="67154F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368" w:type="pct"/>
            <w:shd w:val="clear" w:color="auto" w:fill="auto"/>
            <w:vAlign w:val="center"/>
          </w:tcPr>
          <w:p w14:paraId="7DE2A41F">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222E6F93">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6CCFA47F">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5F1F224F">
            <w:pPr>
              <w:widowControl/>
              <w:snapToGrid w:val="0"/>
              <w:ind w:firstLine="0" w:firstLineChars="0"/>
              <w:rPr>
                <w:rFonts w:hint="eastAsia" w:ascii="宋体" w:hAnsi="宋体" w:eastAsia="宋体" w:cs="宋体"/>
                <w:sz w:val="24"/>
                <w:szCs w:val="24"/>
              </w:rPr>
            </w:pPr>
          </w:p>
        </w:tc>
      </w:tr>
      <w:tr w14:paraId="6D8E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continue"/>
            <w:vAlign w:val="center"/>
          </w:tcPr>
          <w:p w14:paraId="768CE1B5">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4318984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拆码垛模组</w:t>
            </w:r>
          </w:p>
        </w:tc>
        <w:tc>
          <w:tcPr>
            <w:tcW w:w="1715" w:type="pct"/>
            <w:shd w:val="clear" w:color="auto" w:fill="auto"/>
            <w:vAlign w:val="center"/>
          </w:tcPr>
          <w:p w14:paraId="32CFC2F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1.额定载荷：≥400kg；</w:t>
            </w:r>
          </w:p>
          <w:p w14:paraId="1719834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2.拆/码数量：≥12箱；</w:t>
            </w:r>
          </w:p>
          <w:p w14:paraId="70AC8CE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3.作业效率：≥3次/分钟；</w:t>
            </w:r>
          </w:p>
          <w:p w14:paraId="3A9A957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4.货车水平速度：≥0.5m/s；</w:t>
            </w:r>
          </w:p>
          <w:p w14:paraId="3B24323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5.夹紧机构速度：≤0.1m/s；</w:t>
            </w:r>
          </w:p>
          <w:p w14:paraId="234175A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6.叠盘定位精度：≤3mm；</w:t>
            </w:r>
          </w:p>
          <w:p w14:paraId="2AE22F4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7.重复定位精度：≤0.5mm。</w:t>
            </w:r>
          </w:p>
        </w:tc>
        <w:tc>
          <w:tcPr>
            <w:tcW w:w="313" w:type="pct"/>
            <w:shd w:val="clear" w:color="000000" w:fill="FFFFFF"/>
            <w:vAlign w:val="center"/>
          </w:tcPr>
          <w:p w14:paraId="27B52267">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napToGrid w:val="0"/>
                <w:kern w:val="0"/>
                <w:sz w:val="24"/>
                <w:szCs w:val="24"/>
              </w:rPr>
              <w:t>套</w:t>
            </w:r>
          </w:p>
        </w:tc>
        <w:tc>
          <w:tcPr>
            <w:tcW w:w="294" w:type="pct"/>
            <w:shd w:val="clear" w:color="000000" w:fill="FFFFFF"/>
            <w:vAlign w:val="center"/>
          </w:tcPr>
          <w:p w14:paraId="1E84D2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68" w:type="pct"/>
            <w:shd w:val="clear" w:color="auto" w:fill="auto"/>
            <w:vAlign w:val="center"/>
          </w:tcPr>
          <w:p w14:paraId="2BB36B90">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0291A72F">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2DB58689">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13A7C754">
            <w:pPr>
              <w:widowControl/>
              <w:snapToGrid w:val="0"/>
              <w:ind w:firstLine="0" w:firstLineChars="0"/>
              <w:rPr>
                <w:rFonts w:hint="eastAsia" w:ascii="宋体" w:hAnsi="宋体" w:eastAsia="宋体" w:cs="宋体"/>
                <w:sz w:val="24"/>
                <w:szCs w:val="24"/>
              </w:rPr>
            </w:pPr>
          </w:p>
        </w:tc>
      </w:tr>
      <w:tr w14:paraId="15CD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7E1DF4F7">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5EFB3E7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电动托盘搬运模组</w:t>
            </w:r>
          </w:p>
        </w:tc>
        <w:tc>
          <w:tcPr>
            <w:tcW w:w="1715" w:type="pct"/>
            <w:shd w:val="clear" w:color="auto" w:fill="auto"/>
            <w:vAlign w:val="center"/>
          </w:tcPr>
          <w:p w14:paraId="25E981C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1.额定载重:≥1000kg；</w:t>
            </w:r>
          </w:p>
          <w:p w14:paraId="4A83C83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2.整车尺寸L×W×H：≤1550×550×1212mm；</w:t>
            </w:r>
          </w:p>
          <w:p w14:paraId="60654A6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3.货叉最低离地高度：≥85mm；</w:t>
            </w:r>
          </w:p>
          <w:p w14:paraId="3A87F58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4.货叉最大起升高度：≥200mm；</w:t>
            </w:r>
          </w:p>
          <w:p w14:paraId="230B790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5.最大爬坡度：≥5°；</w:t>
            </w:r>
          </w:p>
          <w:p w14:paraId="604249B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6.货叉内/外宽：250/550mm；</w:t>
            </w:r>
          </w:p>
          <w:p w14:paraId="1D3775D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7.防护等级：IP54；</w:t>
            </w:r>
          </w:p>
          <w:p w14:paraId="74F31FA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8.电池:锂电池；</w:t>
            </w:r>
          </w:p>
          <w:p w14:paraId="2C27B968">
            <w:pPr>
              <w:ind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9.满载速度:≥4.0km/h。</w:t>
            </w:r>
          </w:p>
        </w:tc>
        <w:tc>
          <w:tcPr>
            <w:tcW w:w="313" w:type="pct"/>
            <w:shd w:val="clear" w:color="000000" w:fill="FFFFFF"/>
            <w:vAlign w:val="center"/>
          </w:tcPr>
          <w:p w14:paraId="354210F4">
            <w:pPr>
              <w:widowControl/>
              <w:snapToGrid w:val="0"/>
              <w:ind w:firstLine="0" w:firstLineChars="0"/>
              <w:jc w:val="center"/>
              <w:rPr>
                <w:rFonts w:hint="eastAsia" w:ascii="宋体" w:hAnsi="宋体" w:eastAsia="宋体" w:cs="宋体"/>
                <w:sz w:val="24"/>
                <w:szCs w:val="24"/>
                <w:lang w:eastAsia="zh-CN"/>
              </w:rPr>
            </w:pPr>
            <w:r>
              <w:rPr>
                <w:rFonts w:hint="eastAsia" w:ascii="宋体" w:hAnsi="宋体" w:eastAsia="宋体" w:cs="宋体"/>
                <w:snapToGrid w:val="0"/>
                <w:kern w:val="0"/>
                <w:sz w:val="24"/>
                <w:szCs w:val="24"/>
                <w:lang w:val="en-US" w:eastAsia="zh-CN"/>
              </w:rPr>
              <w:t>台</w:t>
            </w:r>
          </w:p>
        </w:tc>
        <w:tc>
          <w:tcPr>
            <w:tcW w:w="294" w:type="pct"/>
            <w:shd w:val="clear" w:color="000000" w:fill="FFFFFF"/>
            <w:vAlign w:val="center"/>
          </w:tcPr>
          <w:p w14:paraId="26C31D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68" w:type="pct"/>
            <w:shd w:val="clear" w:color="auto" w:fill="auto"/>
            <w:vAlign w:val="center"/>
          </w:tcPr>
          <w:p w14:paraId="7D955BE7">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vAlign w:val="center"/>
          </w:tcPr>
          <w:p w14:paraId="36743E96">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3年</w:t>
            </w:r>
          </w:p>
        </w:tc>
        <w:tc>
          <w:tcPr>
            <w:tcW w:w="342" w:type="pct"/>
            <w:shd w:val="clear" w:color="auto" w:fill="auto"/>
            <w:vAlign w:val="center"/>
          </w:tcPr>
          <w:p w14:paraId="670DCC49">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342" w:type="pct"/>
            <w:vMerge w:val="continue"/>
            <w:shd w:val="clear" w:color="auto" w:fill="auto"/>
            <w:vAlign w:val="center"/>
          </w:tcPr>
          <w:p w14:paraId="4327CC85">
            <w:pPr>
              <w:widowControl/>
              <w:snapToGrid w:val="0"/>
              <w:ind w:firstLine="0" w:firstLineChars="0"/>
              <w:rPr>
                <w:rFonts w:hint="eastAsia" w:ascii="宋体" w:hAnsi="宋体" w:eastAsia="宋体" w:cs="宋体"/>
                <w:sz w:val="24"/>
                <w:szCs w:val="24"/>
              </w:rPr>
            </w:pPr>
          </w:p>
        </w:tc>
      </w:tr>
      <w:tr w14:paraId="59E8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67A6C485">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4E15E13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叉取举升搬运模组</w:t>
            </w:r>
          </w:p>
        </w:tc>
        <w:tc>
          <w:tcPr>
            <w:tcW w:w="1715" w:type="pct"/>
            <w:shd w:val="clear" w:color="auto" w:fill="auto"/>
            <w:vAlign w:val="center"/>
          </w:tcPr>
          <w:p w14:paraId="79AB4AE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1.使用形式：堆高式；</w:t>
            </w:r>
          </w:p>
          <w:p w14:paraId="2C7C6BB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2.额定载重：≥1000kg；</w:t>
            </w:r>
          </w:p>
          <w:p w14:paraId="1116BA7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3.自重：≤520kg;</w:t>
            </w:r>
          </w:p>
          <w:p w14:paraId="44177C2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4.举升速度：≥200mm/s;</w:t>
            </w:r>
          </w:p>
          <w:p w14:paraId="04E4549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5.电池：锂电池，8～12h，支持快充；</w:t>
            </w:r>
          </w:p>
          <w:p w14:paraId="535834E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6.堆高高度：≥3m。</w:t>
            </w:r>
          </w:p>
        </w:tc>
        <w:tc>
          <w:tcPr>
            <w:tcW w:w="313" w:type="pct"/>
            <w:shd w:val="clear" w:color="000000" w:fill="FFFFFF"/>
            <w:vAlign w:val="center"/>
          </w:tcPr>
          <w:p w14:paraId="3F64DA39">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台</w:t>
            </w:r>
          </w:p>
        </w:tc>
        <w:tc>
          <w:tcPr>
            <w:tcW w:w="294" w:type="pct"/>
            <w:shd w:val="clear" w:color="000000" w:fill="FFFFFF"/>
            <w:vAlign w:val="center"/>
          </w:tcPr>
          <w:p w14:paraId="1D2441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68" w:type="pct"/>
            <w:shd w:val="clear" w:color="auto" w:fill="auto"/>
            <w:vAlign w:val="center"/>
          </w:tcPr>
          <w:p w14:paraId="1E392F8A">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vAlign w:val="center"/>
          </w:tcPr>
          <w:p w14:paraId="1B7ABDAB">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3年</w:t>
            </w:r>
          </w:p>
        </w:tc>
        <w:tc>
          <w:tcPr>
            <w:tcW w:w="342" w:type="pct"/>
            <w:shd w:val="clear" w:color="auto" w:fill="auto"/>
            <w:vAlign w:val="center"/>
          </w:tcPr>
          <w:p w14:paraId="33DA874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342" w:type="pct"/>
            <w:vMerge w:val="continue"/>
            <w:shd w:val="clear" w:color="auto" w:fill="auto"/>
            <w:vAlign w:val="center"/>
          </w:tcPr>
          <w:p w14:paraId="6262574A">
            <w:pPr>
              <w:widowControl/>
              <w:snapToGrid w:val="0"/>
              <w:ind w:firstLine="0" w:firstLineChars="0"/>
              <w:rPr>
                <w:rFonts w:hint="eastAsia" w:ascii="宋体" w:hAnsi="宋体" w:eastAsia="宋体" w:cs="宋体"/>
                <w:sz w:val="24"/>
                <w:szCs w:val="24"/>
              </w:rPr>
            </w:pPr>
          </w:p>
        </w:tc>
      </w:tr>
      <w:tr w14:paraId="034C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72DE0D4A">
            <w:pPr>
              <w:widowControl/>
              <w:snapToGrid w:val="0"/>
              <w:ind w:firstLine="0" w:firstLineChars="0"/>
              <w:rPr>
                <w:rFonts w:hint="eastAsia" w:ascii="宋体" w:hAnsi="宋体" w:eastAsia="宋体" w:cs="宋体"/>
                <w:sz w:val="24"/>
                <w:szCs w:val="24"/>
              </w:rPr>
            </w:pPr>
          </w:p>
        </w:tc>
        <w:tc>
          <w:tcPr>
            <w:tcW w:w="631" w:type="pct"/>
            <w:tcBorders>
              <w:bottom w:val="single" w:color="auto" w:sz="4" w:space="0"/>
            </w:tcBorders>
            <w:shd w:val="clear" w:color="auto" w:fill="auto"/>
            <w:vAlign w:val="center"/>
          </w:tcPr>
          <w:p w14:paraId="339EF12B">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仓储管控模组</w:t>
            </w:r>
          </w:p>
        </w:tc>
        <w:tc>
          <w:tcPr>
            <w:tcW w:w="1715" w:type="pct"/>
            <w:tcBorders>
              <w:bottom w:val="single" w:color="auto" w:sz="4" w:space="0"/>
            </w:tcBorders>
            <w:shd w:val="clear" w:color="auto" w:fill="auto"/>
            <w:vAlign w:val="center"/>
          </w:tcPr>
          <w:p w14:paraId="3B7BA9B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1.仓储管控模组含 WMS 与 WCS 模块：WMS 实现库房监控、出入库、统计、基础信息管理；WCS 负责设备控制、任务调度与数据采集分析。</w:t>
            </w:r>
          </w:p>
          <w:p w14:paraId="1E3B2B5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2.安全性应满足GB/T 25000.51-2016《系统与软件工程系统与软件质量要求和评价（SQuaRE）第51部分就绪可用软件产品（RUSP）的质量要求和测试细则》、Q/GDW 1597-2015《国家电网公司应用软件系统通用安全要求》（增强型（三级））等要求。</w:t>
            </w:r>
          </w:p>
          <w:p w14:paraId="5102841D">
            <w:pPr>
              <w:pStyle w:val="8"/>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3.支持联合标签打印机实现无标签的小微资产等出入库管控，实现条码与本地物资绑定，可录入WMS系统内进行物资的本地化存储统计和资产管理。</w:t>
            </w:r>
          </w:p>
        </w:tc>
        <w:tc>
          <w:tcPr>
            <w:tcW w:w="313" w:type="pct"/>
            <w:tcBorders>
              <w:bottom w:val="single" w:color="auto" w:sz="4" w:space="0"/>
            </w:tcBorders>
            <w:shd w:val="clear" w:color="000000" w:fill="FFFFFF"/>
            <w:vAlign w:val="center"/>
          </w:tcPr>
          <w:p w14:paraId="756E0D2A">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294" w:type="pct"/>
            <w:tcBorders>
              <w:bottom w:val="single" w:color="auto" w:sz="4" w:space="0"/>
            </w:tcBorders>
            <w:shd w:val="clear" w:color="000000" w:fill="FFFFFF"/>
            <w:vAlign w:val="center"/>
          </w:tcPr>
          <w:p w14:paraId="06D3B9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368" w:type="pct"/>
            <w:tcBorders>
              <w:bottom w:val="single" w:color="auto" w:sz="4" w:space="0"/>
            </w:tcBorders>
            <w:shd w:val="clear" w:color="auto" w:fill="auto"/>
            <w:vAlign w:val="center"/>
          </w:tcPr>
          <w:p w14:paraId="2A41647D">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tcBorders>
              <w:bottom w:val="single" w:color="auto" w:sz="4" w:space="0"/>
            </w:tcBorders>
            <w:shd w:val="clear" w:color="auto" w:fill="auto"/>
            <w:vAlign w:val="center"/>
          </w:tcPr>
          <w:p w14:paraId="7FE6354A">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tcBorders>
              <w:bottom w:val="single" w:color="auto" w:sz="4" w:space="0"/>
            </w:tcBorders>
            <w:shd w:val="clear" w:color="auto" w:fill="auto"/>
            <w:vAlign w:val="center"/>
          </w:tcPr>
          <w:p w14:paraId="5B1AB557">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0E58E55B">
            <w:pPr>
              <w:widowControl/>
              <w:snapToGrid w:val="0"/>
              <w:ind w:firstLine="0" w:firstLineChars="0"/>
              <w:rPr>
                <w:rFonts w:hint="eastAsia" w:ascii="宋体" w:hAnsi="宋体" w:eastAsia="宋体" w:cs="宋体"/>
                <w:sz w:val="24"/>
                <w:szCs w:val="24"/>
              </w:rPr>
            </w:pPr>
          </w:p>
        </w:tc>
      </w:tr>
      <w:tr w14:paraId="1544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tcBorders>
              <w:right w:val="single" w:color="auto" w:sz="4" w:space="0"/>
            </w:tcBorders>
            <w:vAlign w:val="center"/>
          </w:tcPr>
          <w:p w14:paraId="36889D62">
            <w:pPr>
              <w:widowControl/>
              <w:snapToGrid w:val="0"/>
              <w:ind w:firstLine="0" w:firstLineChars="0"/>
              <w:rPr>
                <w:rFonts w:hint="eastAsia" w:ascii="宋体" w:hAnsi="宋体" w:eastAsia="宋体" w:cs="宋体"/>
                <w:sz w:val="24"/>
                <w:szCs w:val="24"/>
              </w:rPr>
            </w:pP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54F28BB2">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无动力周转模组</w:t>
            </w:r>
          </w:p>
        </w:tc>
        <w:tc>
          <w:tcPr>
            <w:tcW w:w="1715" w:type="pct"/>
            <w:tcBorders>
              <w:top w:val="single" w:color="auto" w:sz="4" w:space="0"/>
              <w:left w:val="single" w:color="auto" w:sz="4" w:space="0"/>
              <w:bottom w:val="single" w:color="auto" w:sz="4" w:space="0"/>
              <w:right w:val="single" w:color="auto" w:sz="4" w:space="0"/>
            </w:tcBorders>
            <w:shd w:val="clear" w:color="auto" w:fill="auto"/>
            <w:vAlign w:val="center"/>
          </w:tcPr>
          <w:p w14:paraId="4935EC3F">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1.额定载重：≥300kg；</w:t>
            </w:r>
          </w:p>
          <w:p w14:paraId="3B0A5206">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2.外形尺寸L×W×H：</w:t>
            </w:r>
            <w:r>
              <w:rPr>
                <w:rFonts w:hint="eastAsia" w:ascii="宋体" w:hAnsi="宋体" w:eastAsia="宋体" w:cs="宋体"/>
                <w:sz w:val="24"/>
                <w:szCs w:val="24"/>
                <w:lang w:val="en-US" w:eastAsia="zh-CN"/>
              </w:rPr>
              <w:t>≤</w:t>
            </w:r>
            <w:r>
              <w:rPr>
                <w:rFonts w:hint="eastAsia" w:ascii="宋体" w:hAnsi="宋体" w:eastAsia="宋体" w:cs="宋体"/>
                <w:sz w:val="24"/>
                <w:szCs w:val="24"/>
                <w:highlight w:val="none"/>
                <w:lang w:val="en-US" w:eastAsia="zh-CN"/>
              </w:rPr>
              <w:t>765×490×362mm；</w:t>
            </w:r>
          </w:p>
          <w:p w14:paraId="52CB0CD1">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3.脚轮/车轮：4寸静音聚氨酯轮；两个定向轮、两个万向轮；</w:t>
            </w:r>
          </w:p>
          <w:p w14:paraId="09D5180B">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4.材质：Q235B；</w:t>
            </w:r>
          </w:p>
          <w:p w14:paraId="37AC2BD4">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5.表面处理方式：喷塑；</w:t>
            </w:r>
          </w:p>
          <w:p w14:paraId="5BE54AEA">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6.其他要求：具备定位设计，满足多个周转模组安全堆叠要求；</w:t>
            </w:r>
          </w:p>
          <w:p w14:paraId="3B64C65D">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7.配套存储单元：每台配置10个存储单元，存储单元尺寸满足在无动力周转模组上平稳放置，急停不倒。</w:t>
            </w:r>
          </w:p>
          <w:p w14:paraId="5CCBE5EA">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8.侧壁厚度：≥3mm；</w:t>
            </w:r>
          </w:p>
          <w:p w14:paraId="5C8BA6C9">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9.离地面高度：满足智能AGV搬运车配套使用要求。</w:t>
            </w:r>
          </w:p>
        </w:tc>
        <w:tc>
          <w:tcPr>
            <w:tcW w:w="313" w:type="pct"/>
            <w:tcBorders>
              <w:top w:val="single" w:color="auto" w:sz="4" w:space="0"/>
              <w:left w:val="single" w:color="auto" w:sz="4" w:space="0"/>
              <w:bottom w:val="single" w:color="auto" w:sz="4" w:space="0"/>
              <w:right w:val="single" w:color="auto" w:sz="4" w:space="0"/>
            </w:tcBorders>
            <w:shd w:val="clear" w:color="000000" w:fill="FFFFFF"/>
            <w:vAlign w:val="center"/>
          </w:tcPr>
          <w:p w14:paraId="05D061D6">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台</w:t>
            </w:r>
          </w:p>
        </w:tc>
        <w:tc>
          <w:tcPr>
            <w:tcW w:w="294" w:type="pct"/>
            <w:tcBorders>
              <w:top w:val="single" w:color="auto" w:sz="4" w:space="0"/>
              <w:left w:val="single" w:color="auto" w:sz="4" w:space="0"/>
              <w:bottom w:val="single" w:color="auto" w:sz="4" w:space="0"/>
              <w:right w:val="single" w:color="auto" w:sz="4" w:space="0"/>
            </w:tcBorders>
            <w:shd w:val="clear" w:color="000000" w:fill="FFFFFF"/>
            <w:vAlign w:val="center"/>
          </w:tcPr>
          <w:p w14:paraId="0778B5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250</w:t>
            </w:r>
          </w:p>
        </w:tc>
        <w:tc>
          <w:tcPr>
            <w:tcW w:w="368" w:type="pct"/>
            <w:tcBorders>
              <w:top w:val="single" w:color="auto" w:sz="4" w:space="0"/>
              <w:left w:val="single" w:color="auto" w:sz="4" w:space="0"/>
              <w:bottom w:val="single" w:color="auto" w:sz="4" w:space="0"/>
              <w:right w:val="single" w:color="auto" w:sz="4" w:space="0"/>
            </w:tcBorders>
            <w:shd w:val="clear" w:color="auto" w:fill="auto"/>
            <w:vAlign w:val="center"/>
          </w:tcPr>
          <w:p w14:paraId="18B40AF7">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4827C69E">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3年</w:t>
            </w:r>
          </w:p>
        </w:tc>
        <w:tc>
          <w:tcPr>
            <w:tcW w:w="342" w:type="pct"/>
            <w:tcBorders>
              <w:top w:val="single" w:color="auto" w:sz="4" w:space="0"/>
              <w:left w:val="single" w:color="auto" w:sz="4" w:space="0"/>
              <w:bottom w:val="single" w:color="auto" w:sz="4" w:space="0"/>
              <w:right w:val="single" w:color="auto" w:sz="4" w:space="0"/>
            </w:tcBorders>
            <w:shd w:val="clear" w:color="auto" w:fill="auto"/>
            <w:vAlign w:val="center"/>
          </w:tcPr>
          <w:p w14:paraId="6882EE81">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342" w:type="pct"/>
            <w:vMerge w:val="continue"/>
            <w:shd w:val="clear" w:color="auto" w:fill="auto"/>
            <w:vAlign w:val="center"/>
          </w:tcPr>
          <w:p w14:paraId="666B6958">
            <w:pPr>
              <w:widowControl/>
              <w:snapToGrid w:val="0"/>
              <w:ind w:firstLine="0" w:firstLineChars="0"/>
              <w:rPr>
                <w:rFonts w:hint="eastAsia" w:ascii="宋体" w:hAnsi="宋体" w:eastAsia="宋体" w:cs="宋体"/>
                <w:sz w:val="24"/>
                <w:szCs w:val="24"/>
              </w:rPr>
            </w:pPr>
          </w:p>
        </w:tc>
      </w:tr>
      <w:tr w14:paraId="66D4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tcBorders>
              <w:right w:val="single" w:color="auto" w:sz="4" w:space="0"/>
            </w:tcBorders>
            <w:vAlign w:val="center"/>
          </w:tcPr>
          <w:p w14:paraId="35864075">
            <w:pPr>
              <w:widowControl/>
              <w:snapToGrid w:val="0"/>
              <w:ind w:firstLine="0" w:firstLineChars="0"/>
              <w:rPr>
                <w:rFonts w:hint="eastAsia" w:ascii="宋体" w:hAnsi="宋体" w:eastAsia="宋体" w:cs="宋体"/>
                <w:sz w:val="24"/>
                <w:szCs w:val="24"/>
              </w:rPr>
            </w:pP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75D1BB17">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仓储自动化设备控制模组</w:t>
            </w:r>
          </w:p>
        </w:tc>
        <w:tc>
          <w:tcPr>
            <w:tcW w:w="1715" w:type="pct"/>
            <w:tcBorders>
              <w:top w:val="single" w:color="auto" w:sz="4" w:space="0"/>
              <w:left w:val="single" w:color="auto" w:sz="4" w:space="0"/>
              <w:bottom w:val="single" w:color="auto" w:sz="4" w:space="0"/>
              <w:right w:val="single" w:color="auto" w:sz="4" w:space="0"/>
            </w:tcBorders>
            <w:shd w:val="clear" w:color="auto" w:fill="auto"/>
            <w:vAlign w:val="center"/>
          </w:tcPr>
          <w:p w14:paraId="24B1E6CA">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1.数据管理主机1台，CPU核心数≥6，CPU主频≥1.7GHz，内存≥16G，硬盘≥2×300GB；</w:t>
            </w:r>
          </w:p>
          <w:p w14:paraId="5C229D4F">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2.控制终端1台，CPU≥六核，速度≥3.20GHz，≥6G独立显卡，运行内存≥16G，硬盘≥1TB；显示器≥24英寸；</w:t>
            </w:r>
          </w:p>
          <w:p w14:paraId="4744D596">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3.数据交换装置：≥24个千兆口；</w:t>
            </w:r>
          </w:p>
          <w:p w14:paraId="6F826BC1">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4.安全防护装置：具备访问控制、入侵防御、日志审计与策略执行等功能；</w:t>
            </w:r>
          </w:p>
          <w:p w14:paraId="19228392">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5.设备路由控制装置：无线AP企业级Wi-Fi6，支持统一管理‌、零配置上线‌；支持无缝漫游、双模式组网‌（桥接模式、‌网关模式‌）；支持 WPA2/WPA3 加密；可设置黑名单、限速、定时关断（健康模式）；支持日志采集、固件一键升级等；</w:t>
            </w:r>
          </w:p>
          <w:p w14:paraId="5B0B4C16">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6.显示大屏：分辨率≥4K，尺寸≥55英寸；内存≥4GB+64GB。</w:t>
            </w:r>
          </w:p>
        </w:tc>
        <w:tc>
          <w:tcPr>
            <w:tcW w:w="313" w:type="pct"/>
            <w:tcBorders>
              <w:top w:val="single" w:color="auto" w:sz="4" w:space="0"/>
              <w:left w:val="single" w:color="auto" w:sz="4" w:space="0"/>
              <w:bottom w:val="single" w:color="auto" w:sz="4" w:space="0"/>
              <w:right w:val="single" w:color="auto" w:sz="4" w:space="0"/>
            </w:tcBorders>
            <w:shd w:val="clear" w:color="000000" w:fill="FFFFFF"/>
            <w:vAlign w:val="center"/>
          </w:tcPr>
          <w:p w14:paraId="49624206">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294" w:type="pct"/>
            <w:tcBorders>
              <w:top w:val="single" w:color="auto" w:sz="4" w:space="0"/>
              <w:left w:val="single" w:color="auto" w:sz="4" w:space="0"/>
              <w:bottom w:val="single" w:color="auto" w:sz="4" w:space="0"/>
              <w:right w:val="single" w:color="auto" w:sz="4" w:space="0"/>
            </w:tcBorders>
            <w:shd w:val="clear" w:color="000000" w:fill="FFFFFF"/>
            <w:vAlign w:val="center"/>
          </w:tcPr>
          <w:p w14:paraId="6F5E43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68" w:type="pct"/>
            <w:tcBorders>
              <w:top w:val="single" w:color="auto" w:sz="4" w:space="0"/>
              <w:left w:val="single" w:color="auto" w:sz="4" w:space="0"/>
              <w:bottom w:val="single" w:color="auto" w:sz="4" w:space="0"/>
              <w:right w:val="single" w:color="auto" w:sz="4" w:space="0"/>
            </w:tcBorders>
            <w:shd w:val="clear" w:color="auto" w:fill="auto"/>
            <w:vAlign w:val="center"/>
          </w:tcPr>
          <w:p w14:paraId="04034631">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057EC226">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3年</w:t>
            </w:r>
          </w:p>
        </w:tc>
        <w:tc>
          <w:tcPr>
            <w:tcW w:w="342" w:type="pct"/>
            <w:tcBorders>
              <w:top w:val="single" w:color="auto" w:sz="4" w:space="0"/>
              <w:left w:val="single" w:color="auto" w:sz="4" w:space="0"/>
              <w:bottom w:val="single" w:color="auto" w:sz="4" w:space="0"/>
              <w:right w:val="single" w:color="auto" w:sz="4" w:space="0"/>
            </w:tcBorders>
            <w:shd w:val="clear" w:color="auto" w:fill="auto"/>
            <w:vAlign w:val="center"/>
          </w:tcPr>
          <w:p w14:paraId="7A480A33">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342" w:type="pct"/>
            <w:vMerge w:val="continue"/>
            <w:shd w:val="clear" w:color="auto" w:fill="auto"/>
            <w:vAlign w:val="center"/>
          </w:tcPr>
          <w:p w14:paraId="20150865">
            <w:pPr>
              <w:widowControl/>
              <w:snapToGrid w:val="0"/>
              <w:ind w:firstLine="0" w:firstLineChars="0"/>
              <w:rPr>
                <w:rFonts w:hint="eastAsia" w:ascii="宋体" w:hAnsi="宋体" w:eastAsia="宋体" w:cs="宋体"/>
                <w:sz w:val="24"/>
                <w:szCs w:val="24"/>
              </w:rPr>
            </w:pPr>
          </w:p>
        </w:tc>
      </w:tr>
      <w:tr w14:paraId="4307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4CA4CA63">
            <w:pPr>
              <w:widowControl/>
              <w:snapToGrid w:val="0"/>
              <w:ind w:firstLine="0" w:firstLineChars="0"/>
              <w:rPr>
                <w:rFonts w:hint="eastAsia" w:ascii="宋体" w:hAnsi="宋体" w:eastAsia="宋体" w:cs="宋体"/>
                <w:sz w:val="24"/>
                <w:szCs w:val="24"/>
              </w:rPr>
            </w:pPr>
          </w:p>
        </w:tc>
        <w:tc>
          <w:tcPr>
            <w:tcW w:w="631" w:type="pct"/>
            <w:tcBorders>
              <w:top w:val="single" w:color="auto" w:sz="4" w:space="0"/>
            </w:tcBorders>
            <w:shd w:val="clear" w:color="auto" w:fill="auto"/>
            <w:vAlign w:val="center"/>
          </w:tcPr>
          <w:p w14:paraId="69D933F7">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移动式扫码模组</w:t>
            </w:r>
          </w:p>
        </w:tc>
        <w:tc>
          <w:tcPr>
            <w:tcW w:w="1715" w:type="pct"/>
            <w:tcBorders>
              <w:top w:val="single" w:color="auto" w:sz="4" w:space="0"/>
            </w:tcBorders>
            <w:shd w:val="clear" w:color="auto" w:fill="auto"/>
            <w:vAlign w:val="center"/>
          </w:tcPr>
          <w:p w14:paraId="2084F20D">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1.操作系统：Android 11.0以上版本；</w:t>
            </w:r>
          </w:p>
          <w:p w14:paraId="4EE3DD91">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2.处理器：≥八核64位，2.45GHz</w:t>
            </w:r>
          </w:p>
          <w:p w14:paraId="3DA47317">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3.内存：≥4GB+64GB支持外接存储扩展；</w:t>
            </w:r>
          </w:p>
          <w:p w14:paraId="476C2E9A">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4.显示屏：≥5.7寸彩色全面屏；</w:t>
            </w:r>
          </w:p>
          <w:p w14:paraId="430860CB">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5.连接方式：无线广域网、蓝牙连接，支持GPS定位；</w:t>
            </w:r>
          </w:p>
          <w:p w14:paraId="5A2E4701">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6.RFID功能：读/写；工作频段902～928MHz或865～868MHz；读取距离≥20m；</w:t>
            </w:r>
          </w:p>
          <w:p w14:paraId="5217EF1E">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7.音频：1.5W扬声器，两个麦克风，听筒；</w:t>
            </w:r>
          </w:p>
          <w:p w14:paraId="529651E2">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8.摄像头：前置≥500w，顶置1300w摄像头支持闪光灯；</w:t>
            </w:r>
          </w:p>
          <w:p w14:paraId="11042F60">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9.扫描：支持扫描主流的一维和二维码，支持屏幕扫码；</w:t>
            </w:r>
          </w:p>
          <w:p w14:paraId="05FDDD86">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10.电池续航：连续工作时长≥8小时；</w:t>
            </w:r>
          </w:p>
          <w:p w14:paraId="22242D02">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11.工业防护：≥IP65；</w:t>
            </w:r>
          </w:p>
          <w:p w14:paraId="674D69B0">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12.具备条形码、二维码、RFID射频识别功能。</w:t>
            </w:r>
          </w:p>
        </w:tc>
        <w:tc>
          <w:tcPr>
            <w:tcW w:w="313" w:type="pct"/>
            <w:tcBorders>
              <w:top w:val="single" w:color="auto" w:sz="4" w:space="0"/>
            </w:tcBorders>
            <w:shd w:val="clear" w:color="000000" w:fill="FFFFFF"/>
            <w:vAlign w:val="center"/>
          </w:tcPr>
          <w:p w14:paraId="34DF73E4">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台</w:t>
            </w:r>
          </w:p>
        </w:tc>
        <w:tc>
          <w:tcPr>
            <w:tcW w:w="294" w:type="pct"/>
            <w:tcBorders>
              <w:top w:val="single" w:color="auto" w:sz="4" w:space="0"/>
            </w:tcBorders>
            <w:shd w:val="clear" w:color="000000" w:fill="FFFFFF"/>
            <w:vAlign w:val="center"/>
          </w:tcPr>
          <w:p w14:paraId="7FB8C1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68" w:type="pct"/>
            <w:tcBorders>
              <w:top w:val="single" w:color="auto" w:sz="4" w:space="0"/>
            </w:tcBorders>
            <w:shd w:val="clear" w:color="auto" w:fill="auto"/>
            <w:vAlign w:val="center"/>
          </w:tcPr>
          <w:p w14:paraId="26E7847D">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tcBorders>
              <w:top w:val="single" w:color="auto" w:sz="4" w:space="0"/>
            </w:tcBorders>
            <w:shd w:val="clear" w:color="auto" w:fill="auto"/>
            <w:vAlign w:val="center"/>
          </w:tcPr>
          <w:p w14:paraId="1C4742AE">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3年</w:t>
            </w:r>
          </w:p>
        </w:tc>
        <w:tc>
          <w:tcPr>
            <w:tcW w:w="342" w:type="pct"/>
            <w:tcBorders>
              <w:top w:val="single" w:color="auto" w:sz="4" w:space="0"/>
            </w:tcBorders>
            <w:shd w:val="clear" w:color="auto" w:fill="auto"/>
            <w:vAlign w:val="center"/>
          </w:tcPr>
          <w:p w14:paraId="42B39E5E">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342" w:type="pct"/>
            <w:vMerge w:val="continue"/>
            <w:shd w:val="clear" w:color="auto" w:fill="auto"/>
            <w:vAlign w:val="center"/>
          </w:tcPr>
          <w:p w14:paraId="3C8F0F98">
            <w:pPr>
              <w:widowControl/>
              <w:snapToGrid w:val="0"/>
              <w:ind w:firstLine="0" w:firstLineChars="0"/>
              <w:rPr>
                <w:rFonts w:hint="eastAsia" w:ascii="宋体" w:hAnsi="宋体" w:eastAsia="宋体" w:cs="宋体"/>
                <w:sz w:val="24"/>
                <w:szCs w:val="24"/>
              </w:rPr>
            </w:pPr>
          </w:p>
        </w:tc>
      </w:tr>
      <w:tr w14:paraId="12B8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6FF07719">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5A51AC0C">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监控模组</w:t>
            </w:r>
          </w:p>
        </w:tc>
        <w:tc>
          <w:tcPr>
            <w:tcW w:w="1715" w:type="pct"/>
            <w:shd w:val="clear" w:color="auto" w:fill="auto"/>
            <w:vAlign w:val="center"/>
          </w:tcPr>
          <w:p w14:paraId="6D741225">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1.视频监控装置：24小时录像，支持远程查看，≥4台监控球机，像素≥200万；调节角度: 水平：0°～360°，垂直：0°～75°，旋转：0°～360°；补光距离:≥30m；最大图像尺寸:≥1920×1080 ；视频压缩标准:主码流：H.265/H.264；网络: 1个RJ45 10 M/100 M自适应以太网口；供电方式:DC：12V±25%，PoE；防护: IP66；</w:t>
            </w:r>
          </w:p>
          <w:p w14:paraId="57BDC459">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2.环境感知装置：1套，支持温湿度、水浸、烟感信息实时监测和消息推送；</w:t>
            </w:r>
          </w:p>
          <w:p w14:paraId="0D65B317">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3.门禁装置：金属门禁，含人脸识别设备、磁力锁等。屏幕≥7英寸触摸显示屏，屏幕比例9:16，屏幕分辨率≥600×1024；摄像头采用≥200万像素双目摄像头。</w:t>
            </w:r>
          </w:p>
        </w:tc>
        <w:tc>
          <w:tcPr>
            <w:tcW w:w="313" w:type="pct"/>
            <w:shd w:val="clear" w:color="000000" w:fill="FFFFFF"/>
            <w:vAlign w:val="center"/>
          </w:tcPr>
          <w:p w14:paraId="112D6484">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294" w:type="pct"/>
            <w:shd w:val="clear" w:color="000000" w:fill="FFFFFF"/>
            <w:vAlign w:val="center"/>
          </w:tcPr>
          <w:p w14:paraId="4FEA02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68" w:type="pct"/>
            <w:shd w:val="clear" w:color="auto" w:fill="auto"/>
            <w:vAlign w:val="center"/>
          </w:tcPr>
          <w:p w14:paraId="55FA887A">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7025EE66">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3年</w:t>
            </w:r>
          </w:p>
        </w:tc>
        <w:tc>
          <w:tcPr>
            <w:tcW w:w="342" w:type="pct"/>
            <w:shd w:val="clear" w:color="auto" w:fill="auto"/>
            <w:vAlign w:val="center"/>
          </w:tcPr>
          <w:p w14:paraId="4481329D">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342" w:type="pct"/>
            <w:vMerge w:val="continue"/>
            <w:shd w:val="clear" w:color="auto" w:fill="auto"/>
            <w:vAlign w:val="center"/>
          </w:tcPr>
          <w:p w14:paraId="0B967A75">
            <w:pPr>
              <w:widowControl/>
              <w:snapToGrid w:val="0"/>
              <w:ind w:firstLine="0" w:firstLineChars="0"/>
              <w:rPr>
                <w:rFonts w:hint="eastAsia" w:ascii="宋体" w:hAnsi="宋体" w:eastAsia="宋体" w:cs="宋体"/>
                <w:sz w:val="24"/>
                <w:szCs w:val="24"/>
              </w:rPr>
            </w:pPr>
          </w:p>
        </w:tc>
      </w:tr>
      <w:tr w14:paraId="782D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0AA0D429">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55812D12">
            <w:pPr>
              <w:ind w:firstLine="0" w:firstLineChars="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温度调控模组</w:t>
            </w:r>
          </w:p>
        </w:tc>
        <w:tc>
          <w:tcPr>
            <w:tcW w:w="1715" w:type="pct"/>
            <w:shd w:val="clear" w:color="auto" w:fill="auto"/>
            <w:vAlign w:val="center"/>
          </w:tcPr>
          <w:p w14:paraId="0247B158">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1.功率：5P；</w:t>
            </w:r>
          </w:p>
          <w:p w14:paraId="473830F5">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2.型式：立式，工业级；</w:t>
            </w:r>
          </w:p>
          <w:p w14:paraId="4CFD4AE0">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3.制冷量：12.5～15 kW；</w:t>
            </w:r>
          </w:p>
          <w:p w14:paraId="23F34DA7">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4.制热量：7.5～9 kW；</w:t>
            </w:r>
          </w:p>
          <w:p w14:paraId="3C4C866B">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5.循环风量：2200～3000 m³/h；</w:t>
            </w:r>
          </w:p>
          <w:p w14:paraId="5A90626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6.机外静压：50～200 Pa。</w:t>
            </w:r>
          </w:p>
        </w:tc>
        <w:tc>
          <w:tcPr>
            <w:tcW w:w="313" w:type="pct"/>
            <w:shd w:val="clear" w:color="000000" w:fill="FFFFFF"/>
            <w:vAlign w:val="center"/>
          </w:tcPr>
          <w:p w14:paraId="277AAE68">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台</w:t>
            </w:r>
          </w:p>
        </w:tc>
        <w:tc>
          <w:tcPr>
            <w:tcW w:w="294" w:type="pct"/>
            <w:shd w:val="clear" w:color="000000" w:fill="FFFFFF"/>
            <w:vAlign w:val="center"/>
          </w:tcPr>
          <w:p w14:paraId="499762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368" w:type="pct"/>
            <w:shd w:val="clear" w:color="auto" w:fill="auto"/>
            <w:vAlign w:val="center"/>
          </w:tcPr>
          <w:p w14:paraId="2792E86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4D93C0EC">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70AA9326">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728336EA">
            <w:pPr>
              <w:widowControl/>
              <w:snapToGrid w:val="0"/>
              <w:ind w:firstLine="0" w:firstLineChars="0"/>
              <w:rPr>
                <w:rFonts w:hint="eastAsia" w:ascii="宋体" w:hAnsi="宋体" w:eastAsia="宋体" w:cs="宋体"/>
                <w:sz w:val="24"/>
                <w:szCs w:val="24"/>
              </w:rPr>
            </w:pPr>
          </w:p>
        </w:tc>
      </w:tr>
      <w:tr w14:paraId="3381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3AC78B81">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787359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读写器模组</w:t>
            </w:r>
          </w:p>
        </w:tc>
        <w:tc>
          <w:tcPr>
            <w:tcW w:w="1715" w:type="pct"/>
            <w:shd w:val="clear" w:color="auto" w:fill="auto"/>
            <w:vAlign w:val="center"/>
          </w:tcPr>
          <w:p w14:paraId="3B8000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1.工作频段：840～960MHz；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2.盘存标签峰值速度：≥900张/秒；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3.射频输出功率：0～33dBm，可调；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4.天线接口：≥4个；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5.通信接口：RS232、以太网、GPIO；</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6.工作电压：DC 12～24V。</w:t>
            </w:r>
          </w:p>
        </w:tc>
        <w:tc>
          <w:tcPr>
            <w:tcW w:w="313" w:type="pct"/>
            <w:shd w:val="clear" w:color="000000" w:fill="FFFFFF"/>
            <w:vAlign w:val="center"/>
          </w:tcPr>
          <w:p w14:paraId="551078EC">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294" w:type="pct"/>
            <w:shd w:val="clear" w:color="000000" w:fill="FFFFFF"/>
            <w:vAlign w:val="center"/>
          </w:tcPr>
          <w:p w14:paraId="388B13E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368" w:type="pct"/>
            <w:shd w:val="clear" w:color="auto" w:fill="auto"/>
            <w:vAlign w:val="center"/>
          </w:tcPr>
          <w:p w14:paraId="1C25CF2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2C0F19E4">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3244670F">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4751A754">
            <w:pPr>
              <w:widowControl/>
              <w:snapToGrid w:val="0"/>
              <w:ind w:firstLine="0" w:firstLineChars="0"/>
              <w:rPr>
                <w:rFonts w:hint="eastAsia" w:ascii="宋体" w:hAnsi="宋体" w:eastAsia="宋体" w:cs="宋体"/>
                <w:sz w:val="24"/>
                <w:szCs w:val="24"/>
              </w:rPr>
            </w:pPr>
          </w:p>
        </w:tc>
      </w:tr>
      <w:tr w14:paraId="76BA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2F213FED">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19A517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控制板组件</w:t>
            </w:r>
          </w:p>
        </w:tc>
        <w:tc>
          <w:tcPr>
            <w:tcW w:w="1715" w:type="pct"/>
            <w:shd w:val="clear" w:color="auto" w:fill="auto"/>
            <w:vAlign w:val="center"/>
          </w:tcPr>
          <w:p w14:paraId="5DF543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1.主控芯片：6 级超标量、Cache+TCM，浮点可选双精度，算力强，适合图像、复杂算法；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2.红外传感器接口：2路；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3.存储：2MB Flash，512KB RAM；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4.外设接口：USB、CAN、RS485；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5.电源管理：宽压输入（DC 9-30V），过压/过流保护；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6.工作温度：-20℃～+70℃。</w:t>
            </w:r>
          </w:p>
        </w:tc>
        <w:tc>
          <w:tcPr>
            <w:tcW w:w="313" w:type="pct"/>
            <w:shd w:val="clear" w:color="000000" w:fill="FFFFFF"/>
            <w:vAlign w:val="center"/>
          </w:tcPr>
          <w:p w14:paraId="6CD6FA08">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294" w:type="pct"/>
            <w:shd w:val="clear" w:color="000000" w:fill="FFFFFF"/>
            <w:vAlign w:val="center"/>
          </w:tcPr>
          <w:p w14:paraId="648527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368" w:type="pct"/>
            <w:shd w:val="clear" w:color="auto" w:fill="auto"/>
            <w:vAlign w:val="center"/>
          </w:tcPr>
          <w:p w14:paraId="51FED2F5">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212B9528">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48CB50A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0F318331">
            <w:pPr>
              <w:widowControl/>
              <w:snapToGrid w:val="0"/>
              <w:ind w:firstLine="0" w:firstLineChars="0"/>
              <w:rPr>
                <w:rFonts w:hint="eastAsia" w:ascii="宋体" w:hAnsi="宋体" w:eastAsia="宋体" w:cs="宋体"/>
                <w:sz w:val="24"/>
                <w:szCs w:val="24"/>
              </w:rPr>
            </w:pPr>
          </w:p>
        </w:tc>
      </w:tr>
      <w:tr w14:paraId="7D57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pct"/>
            <w:vMerge w:val="continue"/>
            <w:vAlign w:val="center"/>
          </w:tcPr>
          <w:p w14:paraId="2BD81384">
            <w:pPr>
              <w:widowControl/>
              <w:snapToGrid w:val="0"/>
              <w:ind w:firstLine="0" w:firstLineChars="0"/>
              <w:rPr>
                <w:rFonts w:hint="eastAsia" w:ascii="宋体" w:hAnsi="宋体" w:eastAsia="宋体" w:cs="宋体"/>
                <w:sz w:val="24"/>
                <w:szCs w:val="24"/>
              </w:rPr>
            </w:pPr>
          </w:p>
        </w:tc>
        <w:tc>
          <w:tcPr>
            <w:tcW w:w="631" w:type="pct"/>
            <w:shd w:val="clear" w:color="auto" w:fill="auto"/>
            <w:vAlign w:val="center"/>
          </w:tcPr>
          <w:p w14:paraId="164C1C7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读写器外壳组件</w:t>
            </w:r>
          </w:p>
        </w:tc>
        <w:tc>
          <w:tcPr>
            <w:tcW w:w="1715" w:type="pct"/>
            <w:shd w:val="clear" w:color="auto" w:fill="auto"/>
            <w:vAlign w:val="center"/>
          </w:tcPr>
          <w:p w14:paraId="4A42FA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1.防护等级：IP54；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2.材质：铝合金+工业级密封条；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3.尺寸：约200mm×150mm×50mm；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4.安装方式：壁挂式或支架安装；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5.散热设计：被动散热片结构；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6.接口开孔：防水接头。</w:t>
            </w:r>
          </w:p>
        </w:tc>
        <w:tc>
          <w:tcPr>
            <w:tcW w:w="313" w:type="pct"/>
            <w:shd w:val="clear" w:color="000000" w:fill="FFFFFF"/>
            <w:vAlign w:val="center"/>
          </w:tcPr>
          <w:p w14:paraId="6E23185F">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294" w:type="pct"/>
            <w:shd w:val="clear" w:color="000000" w:fill="FFFFFF"/>
            <w:vAlign w:val="center"/>
          </w:tcPr>
          <w:p w14:paraId="11639E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368" w:type="pct"/>
            <w:shd w:val="clear" w:color="auto" w:fill="auto"/>
            <w:vAlign w:val="center"/>
          </w:tcPr>
          <w:p w14:paraId="22A994B5">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22" w:type="pct"/>
            <w:shd w:val="clear" w:color="auto" w:fill="auto"/>
            <w:vAlign w:val="center"/>
          </w:tcPr>
          <w:p w14:paraId="28E055F8">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3年</w:t>
            </w:r>
          </w:p>
        </w:tc>
        <w:tc>
          <w:tcPr>
            <w:tcW w:w="342" w:type="pct"/>
            <w:shd w:val="clear" w:color="auto" w:fill="auto"/>
            <w:vAlign w:val="center"/>
          </w:tcPr>
          <w:p w14:paraId="4F2E44BD">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342" w:type="pct"/>
            <w:vMerge w:val="continue"/>
            <w:shd w:val="clear" w:color="auto" w:fill="auto"/>
            <w:vAlign w:val="center"/>
          </w:tcPr>
          <w:p w14:paraId="36B9013A">
            <w:pPr>
              <w:widowControl/>
              <w:snapToGrid w:val="0"/>
              <w:ind w:firstLine="0" w:firstLineChars="0"/>
              <w:rPr>
                <w:rFonts w:hint="eastAsia" w:ascii="宋体" w:hAnsi="宋体" w:eastAsia="宋体" w:cs="宋体"/>
                <w:sz w:val="24"/>
                <w:szCs w:val="24"/>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9"/>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9"/>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9"/>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9"/>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E71154D"/>
    <w:rsid w:val="1F4B3000"/>
    <w:rsid w:val="22180E33"/>
    <w:rsid w:val="247A4BEB"/>
    <w:rsid w:val="26367679"/>
    <w:rsid w:val="37DC3A83"/>
    <w:rsid w:val="39333B77"/>
    <w:rsid w:val="4277023E"/>
    <w:rsid w:val="4A5767AB"/>
    <w:rsid w:val="51D14780"/>
    <w:rsid w:val="52474BB1"/>
    <w:rsid w:val="525E5C4F"/>
    <w:rsid w:val="55AA3239"/>
    <w:rsid w:val="5BE36C55"/>
    <w:rsid w:val="5E2F405E"/>
    <w:rsid w:val="60601D56"/>
    <w:rsid w:val="629E5F73"/>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Normal Indent"/>
    <w:basedOn w:val="1"/>
    <w:qFormat/>
    <w:uiPriority w:val="0"/>
    <w:pPr>
      <w:ind w:firstLine="200"/>
    </w:pPr>
  </w:style>
  <w:style w:type="paragraph" w:styleId="9">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2">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3">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7718</Words>
  <Characters>8908</Characters>
  <Lines>0</Lines>
  <Paragraphs>0</Paragraphs>
  <TotalTime>0</TotalTime>
  <ScaleCrop>false</ScaleCrop>
  <LinksUpToDate>false</LinksUpToDate>
  <CharactersWithSpaces>8955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